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14E" w:rsidRDefault="0030114E" w:rsidP="0030114E">
      <w:pPr>
        <w:pStyle w:val="Default"/>
        <w:jc w:val="both"/>
      </w:pPr>
    </w:p>
    <w:p w:rsidR="0030114E" w:rsidRDefault="0030114E" w:rsidP="0030114E">
      <w:pPr>
        <w:pStyle w:val="Default"/>
        <w:jc w:val="both"/>
      </w:pPr>
    </w:p>
    <w:p w:rsidR="0030114E" w:rsidRDefault="0030114E" w:rsidP="0030114E">
      <w:pPr>
        <w:pStyle w:val="Default"/>
        <w:jc w:val="both"/>
      </w:pPr>
    </w:p>
    <w:p w:rsidR="0030114E" w:rsidRDefault="0030114E" w:rsidP="0030114E">
      <w:pPr>
        <w:pStyle w:val="Default"/>
        <w:jc w:val="both"/>
      </w:pPr>
    </w:p>
    <w:p w:rsidR="0030114E" w:rsidRPr="00002B2B" w:rsidRDefault="0030114E" w:rsidP="0030114E">
      <w:pPr>
        <w:pStyle w:val="Default"/>
        <w:jc w:val="both"/>
        <w:rPr>
          <w:caps/>
          <w:color w:val="1F497D" w:themeColor="text2"/>
          <w:sz w:val="44"/>
          <w:szCs w:val="40"/>
        </w:rPr>
      </w:pPr>
      <w:r w:rsidRPr="00002B2B">
        <w:rPr>
          <w:b/>
          <w:bCs/>
          <w:caps/>
          <w:color w:val="1F497D" w:themeColor="text2"/>
          <w:sz w:val="44"/>
          <w:szCs w:val="40"/>
        </w:rPr>
        <w:t>City of New York</w:t>
      </w:r>
    </w:p>
    <w:p w:rsidR="0030114E" w:rsidRPr="00002B2B" w:rsidRDefault="0030114E" w:rsidP="0030114E">
      <w:pPr>
        <w:pStyle w:val="Default"/>
        <w:jc w:val="both"/>
        <w:rPr>
          <w:b/>
          <w:bCs/>
          <w:caps/>
          <w:color w:val="1F497D" w:themeColor="text2"/>
          <w:sz w:val="44"/>
          <w:szCs w:val="40"/>
        </w:rPr>
      </w:pPr>
    </w:p>
    <w:p w:rsidR="0030114E" w:rsidRPr="00002B2B" w:rsidRDefault="0030114E" w:rsidP="0030114E">
      <w:pPr>
        <w:pStyle w:val="Default"/>
        <w:jc w:val="both"/>
        <w:rPr>
          <w:caps/>
          <w:color w:val="1F497D" w:themeColor="text2"/>
          <w:sz w:val="44"/>
          <w:szCs w:val="40"/>
        </w:rPr>
      </w:pPr>
      <w:r w:rsidRPr="00002B2B">
        <w:rPr>
          <w:b/>
          <w:bCs/>
          <w:caps/>
          <w:color w:val="1F497D" w:themeColor="text2"/>
          <w:sz w:val="44"/>
          <w:szCs w:val="40"/>
        </w:rPr>
        <w:t xml:space="preserve">Minority and Women-Owned Business Enterprise </w:t>
      </w:r>
      <w:r>
        <w:rPr>
          <w:b/>
          <w:bCs/>
          <w:caps/>
          <w:color w:val="1F497D" w:themeColor="text2"/>
          <w:sz w:val="44"/>
          <w:szCs w:val="40"/>
        </w:rPr>
        <w:t xml:space="preserve">(M/WBE) </w:t>
      </w:r>
      <w:r w:rsidRPr="00002B2B">
        <w:rPr>
          <w:b/>
          <w:bCs/>
          <w:caps/>
          <w:color w:val="1F497D" w:themeColor="text2"/>
          <w:sz w:val="44"/>
          <w:szCs w:val="40"/>
        </w:rPr>
        <w:t xml:space="preserve">Program </w:t>
      </w:r>
    </w:p>
    <w:p w:rsidR="0030114E" w:rsidRPr="00002B2B" w:rsidRDefault="0030114E" w:rsidP="0030114E">
      <w:pPr>
        <w:pStyle w:val="Default"/>
        <w:jc w:val="both"/>
        <w:rPr>
          <w:b/>
          <w:bCs/>
          <w:color w:val="1F497D" w:themeColor="text2"/>
          <w:sz w:val="44"/>
          <w:szCs w:val="40"/>
        </w:rPr>
      </w:pPr>
    </w:p>
    <w:p w:rsidR="0030114E" w:rsidRPr="00002B2B" w:rsidRDefault="00CC1FDD" w:rsidP="0030114E">
      <w:pPr>
        <w:pStyle w:val="Default"/>
        <w:jc w:val="both"/>
        <w:rPr>
          <w:b/>
          <w:bCs/>
          <w:color w:val="1F497D" w:themeColor="text2"/>
          <w:sz w:val="44"/>
          <w:szCs w:val="40"/>
        </w:rPr>
      </w:pPr>
      <w:r>
        <w:rPr>
          <w:b/>
          <w:bCs/>
          <w:color w:val="1F497D" w:themeColor="text2"/>
          <w:sz w:val="44"/>
          <w:szCs w:val="40"/>
        </w:rPr>
        <w:t xml:space="preserve">First Three </w:t>
      </w:r>
      <w:r w:rsidR="00B2728F">
        <w:rPr>
          <w:b/>
          <w:bCs/>
          <w:color w:val="1F497D" w:themeColor="text2"/>
          <w:sz w:val="44"/>
          <w:szCs w:val="40"/>
        </w:rPr>
        <w:t>Quarter</w:t>
      </w:r>
      <w:r w:rsidR="00993755">
        <w:rPr>
          <w:b/>
          <w:bCs/>
          <w:color w:val="1F497D" w:themeColor="text2"/>
          <w:sz w:val="44"/>
          <w:szCs w:val="40"/>
        </w:rPr>
        <w:t>s</w:t>
      </w:r>
      <w:r w:rsidR="00B2728F">
        <w:rPr>
          <w:b/>
          <w:bCs/>
          <w:color w:val="1F497D" w:themeColor="text2"/>
          <w:sz w:val="44"/>
          <w:szCs w:val="40"/>
        </w:rPr>
        <w:t xml:space="preserve"> of</w:t>
      </w:r>
      <w:r w:rsidR="00710579">
        <w:rPr>
          <w:b/>
          <w:bCs/>
          <w:color w:val="1F497D" w:themeColor="text2"/>
          <w:sz w:val="44"/>
          <w:szCs w:val="40"/>
        </w:rPr>
        <w:t xml:space="preserve"> Fiscal Year 2017</w:t>
      </w:r>
    </w:p>
    <w:p w:rsidR="0030114E" w:rsidRDefault="0030114E" w:rsidP="0030114E">
      <w:pPr>
        <w:pStyle w:val="Title"/>
        <w:jc w:val="both"/>
      </w:pPr>
    </w:p>
    <w:p w:rsidR="0030114E" w:rsidRPr="00CF230D" w:rsidRDefault="0030114E" w:rsidP="0030114E">
      <w:pPr>
        <w:pStyle w:val="Default"/>
        <w:jc w:val="both"/>
        <w:rPr>
          <w:sz w:val="28"/>
          <w:szCs w:val="28"/>
        </w:rPr>
      </w:pPr>
      <w:r w:rsidRPr="00CF230D">
        <w:rPr>
          <w:b/>
          <w:bCs/>
          <w:sz w:val="28"/>
          <w:szCs w:val="28"/>
        </w:rPr>
        <w:t xml:space="preserve">Compliance </w:t>
      </w:r>
      <w:r>
        <w:rPr>
          <w:b/>
          <w:bCs/>
          <w:sz w:val="28"/>
          <w:szCs w:val="28"/>
        </w:rPr>
        <w:t xml:space="preserve">Report covering </w:t>
      </w:r>
      <w:r w:rsidR="00CC1FDD">
        <w:rPr>
          <w:b/>
          <w:bCs/>
          <w:sz w:val="28"/>
          <w:szCs w:val="28"/>
        </w:rPr>
        <w:t>July 1, 2016</w:t>
      </w:r>
      <w:r w:rsidRPr="00CF230D">
        <w:rPr>
          <w:b/>
          <w:bCs/>
          <w:sz w:val="28"/>
          <w:szCs w:val="28"/>
        </w:rPr>
        <w:t xml:space="preserve"> – </w:t>
      </w:r>
      <w:r w:rsidR="00C10B9C">
        <w:rPr>
          <w:b/>
          <w:bCs/>
          <w:sz w:val="28"/>
          <w:szCs w:val="28"/>
        </w:rPr>
        <w:t>March</w:t>
      </w:r>
      <w:r w:rsidR="00993755">
        <w:rPr>
          <w:b/>
          <w:bCs/>
          <w:sz w:val="28"/>
          <w:szCs w:val="28"/>
        </w:rPr>
        <w:t xml:space="preserve"> 31</w:t>
      </w:r>
      <w:r>
        <w:rPr>
          <w:b/>
          <w:bCs/>
          <w:sz w:val="28"/>
          <w:szCs w:val="28"/>
        </w:rPr>
        <w:t>, 201</w:t>
      </w:r>
      <w:r w:rsidR="00C10B9C">
        <w:rPr>
          <w:b/>
          <w:bCs/>
          <w:sz w:val="28"/>
          <w:szCs w:val="28"/>
        </w:rPr>
        <w:t>7</w:t>
      </w:r>
    </w:p>
    <w:p w:rsidR="0030114E" w:rsidRPr="00002B2B" w:rsidRDefault="0030114E" w:rsidP="0030114E">
      <w:pPr>
        <w:pStyle w:val="Default"/>
        <w:jc w:val="both"/>
        <w:rPr>
          <w:b/>
          <w:bCs/>
        </w:rPr>
      </w:pPr>
    </w:p>
    <w:p w:rsidR="0030114E" w:rsidRPr="00002B2B" w:rsidRDefault="0030114E" w:rsidP="0030114E">
      <w:pPr>
        <w:pStyle w:val="Default"/>
        <w:jc w:val="both"/>
        <w:rPr>
          <w:b/>
          <w:bCs/>
        </w:rPr>
      </w:pPr>
    </w:p>
    <w:p w:rsidR="0030114E" w:rsidRPr="00002B2B" w:rsidRDefault="0030114E" w:rsidP="0030114E">
      <w:pPr>
        <w:pStyle w:val="Default"/>
        <w:jc w:val="both"/>
        <w:rPr>
          <w:b/>
          <w:bCs/>
        </w:rPr>
      </w:pPr>
    </w:p>
    <w:p w:rsidR="0030114E" w:rsidRPr="00002B2B" w:rsidRDefault="0030114E" w:rsidP="0030114E">
      <w:pPr>
        <w:pStyle w:val="Default"/>
        <w:jc w:val="both"/>
        <w:rPr>
          <w:b/>
          <w:bCs/>
        </w:rPr>
      </w:pPr>
    </w:p>
    <w:p w:rsidR="0030114E" w:rsidRPr="00002B2B" w:rsidRDefault="0030114E" w:rsidP="0030114E">
      <w:pPr>
        <w:pStyle w:val="Default"/>
        <w:jc w:val="both"/>
        <w:rPr>
          <w:b/>
          <w:bCs/>
        </w:rPr>
      </w:pPr>
    </w:p>
    <w:p w:rsidR="0030114E" w:rsidRDefault="0030114E" w:rsidP="0030114E">
      <w:pPr>
        <w:pStyle w:val="Default"/>
        <w:jc w:val="both"/>
        <w:rPr>
          <w:b/>
          <w:bCs/>
        </w:rPr>
      </w:pPr>
    </w:p>
    <w:p w:rsidR="0030114E" w:rsidRDefault="0030114E" w:rsidP="0030114E">
      <w:pPr>
        <w:pStyle w:val="Default"/>
        <w:jc w:val="both"/>
        <w:rPr>
          <w:b/>
          <w:bCs/>
        </w:rPr>
      </w:pPr>
    </w:p>
    <w:p w:rsidR="00555CE2" w:rsidRPr="00BD0141" w:rsidRDefault="00555CE2" w:rsidP="0030114E">
      <w:pPr>
        <w:pStyle w:val="Default"/>
        <w:jc w:val="both"/>
        <w:rPr>
          <w:b/>
          <w:bCs/>
          <w:color w:val="auto"/>
        </w:rPr>
      </w:pPr>
      <w:r w:rsidRPr="00BD0141">
        <w:rPr>
          <w:b/>
          <w:bCs/>
          <w:color w:val="auto"/>
        </w:rPr>
        <w:t>Michael Owh</w:t>
      </w:r>
    </w:p>
    <w:p w:rsidR="0030114E" w:rsidRPr="00FF5C7D" w:rsidRDefault="0030114E" w:rsidP="0030114E">
      <w:pPr>
        <w:pStyle w:val="Default"/>
        <w:jc w:val="both"/>
        <w:rPr>
          <w:b/>
          <w:bCs/>
        </w:rPr>
      </w:pPr>
      <w:r w:rsidRPr="00271CF5">
        <w:rPr>
          <w:b/>
          <w:bCs/>
          <w:color w:val="auto"/>
        </w:rPr>
        <w:t xml:space="preserve">City </w:t>
      </w:r>
      <w:r w:rsidRPr="00FF5C7D">
        <w:rPr>
          <w:b/>
          <w:bCs/>
        </w:rPr>
        <w:t>Chief Procurement Off</w:t>
      </w:r>
      <w:r>
        <w:rPr>
          <w:b/>
          <w:bCs/>
        </w:rPr>
        <w:t>icer</w:t>
      </w:r>
    </w:p>
    <w:p w:rsidR="0030114E" w:rsidRPr="00FF5C7D" w:rsidRDefault="0030114E" w:rsidP="0030114E">
      <w:pPr>
        <w:pStyle w:val="Default"/>
        <w:jc w:val="both"/>
      </w:pPr>
      <w:r w:rsidRPr="00FF5C7D">
        <w:rPr>
          <w:b/>
          <w:bCs/>
        </w:rPr>
        <w:t>Mayor’s Office of Contract Services</w:t>
      </w:r>
    </w:p>
    <w:p w:rsidR="0030114E" w:rsidRPr="00FF5C7D" w:rsidRDefault="0030114E" w:rsidP="0030114E">
      <w:pPr>
        <w:pStyle w:val="Default"/>
        <w:jc w:val="both"/>
      </w:pPr>
      <w:r w:rsidRPr="00FF5C7D">
        <w:rPr>
          <w:b/>
          <w:bCs/>
        </w:rPr>
        <w:t>253 Broadway, 9th Floor</w:t>
      </w:r>
    </w:p>
    <w:p w:rsidR="0030114E" w:rsidRPr="00FF5C7D" w:rsidRDefault="0030114E" w:rsidP="0030114E">
      <w:pPr>
        <w:jc w:val="both"/>
        <w:rPr>
          <w:b/>
          <w:bCs/>
          <w:sz w:val="24"/>
          <w:szCs w:val="24"/>
        </w:rPr>
      </w:pPr>
      <w:r>
        <w:rPr>
          <w:b/>
          <w:bCs/>
          <w:sz w:val="24"/>
          <w:szCs w:val="24"/>
        </w:rPr>
        <w:t>New York, New York 10007</w:t>
      </w:r>
    </w:p>
    <w:p w:rsidR="0030114E" w:rsidRPr="00A70AFF" w:rsidRDefault="0030114E" w:rsidP="0030114E">
      <w:pPr>
        <w:jc w:val="both"/>
        <w:rPr>
          <w:b/>
          <w:bCs/>
          <w:sz w:val="24"/>
          <w:szCs w:val="24"/>
        </w:rPr>
      </w:pPr>
    </w:p>
    <w:p w:rsidR="002E187A" w:rsidRDefault="002E187A" w:rsidP="0030114E">
      <w:pPr>
        <w:jc w:val="both"/>
        <w:rPr>
          <w:b/>
          <w:bCs/>
          <w:sz w:val="24"/>
          <w:szCs w:val="24"/>
        </w:rPr>
      </w:pPr>
      <w:r w:rsidRPr="002E187A">
        <w:rPr>
          <w:b/>
          <w:bCs/>
          <w:sz w:val="24"/>
          <w:szCs w:val="24"/>
        </w:rPr>
        <w:t>Gregg Bishop</w:t>
      </w:r>
    </w:p>
    <w:p w:rsidR="0030114E" w:rsidRPr="009C3005" w:rsidRDefault="0030114E" w:rsidP="0030114E">
      <w:pPr>
        <w:jc w:val="both"/>
        <w:rPr>
          <w:b/>
          <w:bCs/>
          <w:sz w:val="24"/>
          <w:szCs w:val="24"/>
        </w:rPr>
      </w:pPr>
      <w:r w:rsidRPr="009C3005">
        <w:rPr>
          <w:b/>
          <w:bCs/>
          <w:sz w:val="24"/>
          <w:szCs w:val="24"/>
        </w:rPr>
        <w:t>Commissioner</w:t>
      </w:r>
    </w:p>
    <w:p w:rsidR="0030114E" w:rsidRPr="009C3005" w:rsidRDefault="0030114E" w:rsidP="0030114E">
      <w:pPr>
        <w:jc w:val="both"/>
        <w:rPr>
          <w:b/>
          <w:bCs/>
          <w:sz w:val="24"/>
          <w:szCs w:val="24"/>
        </w:rPr>
      </w:pPr>
      <w:r w:rsidRPr="009C3005">
        <w:rPr>
          <w:b/>
          <w:bCs/>
          <w:sz w:val="24"/>
          <w:szCs w:val="24"/>
        </w:rPr>
        <w:t>NYC Department of Small Business Services</w:t>
      </w:r>
    </w:p>
    <w:p w:rsidR="0030114E" w:rsidRPr="009C3005" w:rsidRDefault="0030114E" w:rsidP="0030114E">
      <w:pPr>
        <w:jc w:val="both"/>
        <w:rPr>
          <w:b/>
          <w:bCs/>
          <w:sz w:val="24"/>
          <w:szCs w:val="24"/>
        </w:rPr>
      </w:pPr>
      <w:r w:rsidRPr="009C3005">
        <w:rPr>
          <w:b/>
          <w:bCs/>
          <w:sz w:val="24"/>
          <w:szCs w:val="24"/>
        </w:rPr>
        <w:t>110 William Street, 7th Floor</w:t>
      </w:r>
    </w:p>
    <w:p w:rsidR="0030114E" w:rsidRPr="009C3005" w:rsidRDefault="0030114E" w:rsidP="0030114E">
      <w:pPr>
        <w:jc w:val="both"/>
        <w:rPr>
          <w:b/>
          <w:bCs/>
          <w:sz w:val="24"/>
          <w:szCs w:val="24"/>
        </w:rPr>
      </w:pPr>
      <w:r w:rsidRPr="009C3005">
        <w:rPr>
          <w:b/>
          <w:bCs/>
          <w:sz w:val="24"/>
          <w:szCs w:val="24"/>
        </w:rPr>
        <w:t>New York, New York 10038</w:t>
      </w:r>
    </w:p>
    <w:p w:rsidR="0030114E" w:rsidRDefault="0030114E" w:rsidP="0030114E">
      <w:pPr>
        <w:jc w:val="both"/>
        <w:rPr>
          <w:b/>
        </w:rPr>
      </w:pPr>
      <w:r>
        <w:rPr>
          <w:b/>
        </w:rPr>
        <w:br w:type="page"/>
      </w:r>
    </w:p>
    <w:p w:rsidR="0030114E" w:rsidRPr="00020A74" w:rsidRDefault="0030114E" w:rsidP="0030114E">
      <w:pPr>
        <w:spacing w:after="200" w:line="276" w:lineRule="auto"/>
        <w:jc w:val="both"/>
        <w:rPr>
          <w:rFonts w:ascii="Calibri" w:hAnsi="Calibri"/>
          <w:b/>
          <w:color w:val="0070C0"/>
          <w:sz w:val="26"/>
          <w:szCs w:val="26"/>
        </w:rPr>
      </w:pPr>
    </w:p>
    <w:p w:rsidR="0030114E" w:rsidRPr="00082C00" w:rsidRDefault="0030114E" w:rsidP="0030114E">
      <w:pPr>
        <w:spacing w:after="200" w:line="276" w:lineRule="auto"/>
        <w:jc w:val="both"/>
        <w:rPr>
          <w:rFonts w:ascii="Calibri" w:hAnsi="Calibri"/>
          <w:b/>
          <w:sz w:val="26"/>
          <w:szCs w:val="26"/>
        </w:rPr>
      </w:pPr>
      <w:r w:rsidRPr="00082C00">
        <w:rPr>
          <w:rFonts w:ascii="Calibri" w:hAnsi="Calibri"/>
          <w:b/>
          <w:sz w:val="26"/>
          <w:szCs w:val="26"/>
        </w:rPr>
        <w:t>Table of Contents</w: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8"/>
        <w:gridCol w:w="540"/>
      </w:tblGrid>
      <w:tr w:rsidR="00F94615" w:rsidRPr="00F94615" w:rsidTr="00456D94">
        <w:trPr>
          <w:trHeight w:val="720"/>
        </w:trPr>
        <w:tc>
          <w:tcPr>
            <w:tcW w:w="9648" w:type="dxa"/>
            <w:vAlign w:val="center"/>
          </w:tcPr>
          <w:p w:rsidR="008E79FD" w:rsidRPr="00F94615" w:rsidRDefault="00F94615" w:rsidP="00456D94">
            <w:pPr>
              <w:pStyle w:val="Default"/>
              <w:jc w:val="both"/>
              <w:rPr>
                <w:color w:val="auto"/>
                <w:sz w:val="26"/>
                <w:szCs w:val="26"/>
              </w:rPr>
            </w:pPr>
            <w:r w:rsidRPr="00F94615">
              <w:rPr>
                <w:color w:val="auto"/>
                <w:sz w:val="26"/>
                <w:szCs w:val="26"/>
              </w:rPr>
              <w:t>Introduction………………………………….………………………………………………………………………………….</w:t>
            </w:r>
          </w:p>
        </w:tc>
        <w:tc>
          <w:tcPr>
            <w:tcW w:w="540" w:type="dxa"/>
            <w:vAlign w:val="center"/>
          </w:tcPr>
          <w:p w:rsidR="008E79FD" w:rsidRPr="00F94615" w:rsidRDefault="008E79FD" w:rsidP="00456D94">
            <w:pPr>
              <w:pStyle w:val="Default"/>
              <w:jc w:val="right"/>
              <w:rPr>
                <w:color w:val="auto"/>
                <w:sz w:val="26"/>
                <w:szCs w:val="26"/>
              </w:rPr>
            </w:pPr>
            <w:r w:rsidRPr="00F94615">
              <w:rPr>
                <w:color w:val="auto"/>
                <w:sz w:val="26"/>
                <w:szCs w:val="26"/>
              </w:rPr>
              <w:t>3</w:t>
            </w:r>
          </w:p>
        </w:tc>
      </w:tr>
      <w:tr w:rsidR="00F94615" w:rsidRPr="00F94615" w:rsidTr="00456D94">
        <w:trPr>
          <w:trHeight w:val="720"/>
        </w:trPr>
        <w:tc>
          <w:tcPr>
            <w:tcW w:w="9648" w:type="dxa"/>
            <w:vAlign w:val="center"/>
          </w:tcPr>
          <w:p w:rsidR="008E79FD" w:rsidRPr="00F94615" w:rsidRDefault="008E79FD" w:rsidP="00456D94">
            <w:pPr>
              <w:pStyle w:val="Default"/>
              <w:jc w:val="both"/>
              <w:rPr>
                <w:color w:val="auto"/>
                <w:sz w:val="26"/>
                <w:szCs w:val="26"/>
              </w:rPr>
            </w:pPr>
            <w:r w:rsidRPr="00F94615">
              <w:rPr>
                <w:color w:val="auto"/>
                <w:sz w:val="26"/>
                <w:szCs w:val="26"/>
              </w:rPr>
              <w:t>Expanding the Base of Certified Firms……………………………………………………………………………….</w:t>
            </w:r>
          </w:p>
        </w:tc>
        <w:tc>
          <w:tcPr>
            <w:tcW w:w="540" w:type="dxa"/>
            <w:vAlign w:val="center"/>
          </w:tcPr>
          <w:p w:rsidR="008E79FD" w:rsidRPr="00F94615" w:rsidRDefault="008E79FD" w:rsidP="00456D94">
            <w:pPr>
              <w:pStyle w:val="Default"/>
              <w:jc w:val="right"/>
              <w:rPr>
                <w:color w:val="auto"/>
                <w:sz w:val="26"/>
                <w:szCs w:val="26"/>
              </w:rPr>
            </w:pPr>
            <w:r w:rsidRPr="00F94615">
              <w:rPr>
                <w:color w:val="auto"/>
                <w:sz w:val="26"/>
                <w:szCs w:val="26"/>
              </w:rPr>
              <w:t>3</w:t>
            </w:r>
          </w:p>
        </w:tc>
      </w:tr>
      <w:tr w:rsidR="008E79FD" w:rsidRPr="00B24A20" w:rsidTr="00456D94">
        <w:trPr>
          <w:trHeight w:val="720"/>
        </w:trPr>
        <w:tc>
          <w:tcPr>
            <w:tcW w:w="9648" w:type="dxa"/>
            <w:vAlign w:val="center"/>
          </w:tcPr>
          <w:p w:rsidR="008E79FD" w:rsidRPr="00F94615" w:rsidRDefault="008E79FD" w:rsidP="00456D94">
            <w:pPr>
              <w:pStyle w:val="Default"/>
              <w:jc w:val="both"/>
              <w:rPr>
                <w:color w:val="auto"/>
                <w:sz w:val="26"/>
                <w:szCs w:val="26"/>
              </w:rPr>
            </w:pPr>
            <w:r w:rsidRPr="00F94615">
              <w:rPr>
                <w:color w:val="auto"/>
                <w:sz w:val="26"/>
                <w:szCs w:val="26"/>
              </w:rPr>
              <w:t>Emerging Business Enterprise Program……………………………………………………………………………..</w:t>
            </w:r>
          </w:p>
        </w:tc>
        <w:tc>
          <w:tcPr>
            <w:tcW w:w="540" w:type="dxa"/>
            <w:vAlign w:val="center"/>
          </w:tcPr>
          <w:p w:rsidR="008E79FD" w:rsidRPr="00F94615" w:rsidRDefault="008E79FD" w:rsidP="00456D94">
            <w:pPr>
              <w:pStyle w:val="Default"/>
              <w:jc w:val="right"/>
              <w:rPr>
                <w:color w:val="auto"/>
                <w:sz w:val="26"/>
                <w:szCs w:val="26"/>
              </w:rPr>
            </w:pPr>
            <w:r w:rsidRPr="00F94615">
              <w:rPr>
                <w:color w:val="auto"/>
                <w:sz w:val="26"/>
                <w:szCs w:val="26"/>
              </w:rPr>
              <w:t>4</w:t>
            </w:r>
          </w:p>
        </w:tc>
      </w:tr>
      <w:tr w:rsidR="008E79FD" w:rsidRPr="00B24A20" w:rsidTr="00456D94">
        <w:trPr>
          <w:trHeight w:val="720"/>
        </w:trPr>
        <w:tc>
          <w:tcPr>
            <w:tcW w:w="9648" w:type="dxa"/>
            <w:vAlign w:val="center"/>
          </w:tcPr>
          <w:p w:rsidR="008E79FD" w:rsidRPr="00F94615" w:rsidRDefault="008E79FD" w:rsidP="00456D94">
            <w:pPr>
              <w:pStyle w:val="Default"/>
              <w:jc w:val="both"/>
              <w:rPr>
                <w:color w:val="auto"/>
                <w:sz w:val="26"/>
                <w:szCs w:val="26"/>
              </w:rPr>
            </w:pPr>
            <w:r w:rsidRPr="00F94615">
              <w:rPr>
                <w:color w:val="auto"/>
                <w:sz w:val="26"/>
                <w:szCs w:val="26"/>
              </w:rPr>
              <w:t>Locally-based Enterprise Program……….………………….……………………………………………………..</w:t>
            </w:r>
          </w:p>
        </w:tc>
        <w:tc>
          <w:tcPr>
            <w:tcW w:w="540" w:type="dxa"/>
            <w:vAlign w:val="center"/>
          </w:tcPr>
          <w:p w:rsidR="008E79FD" w:rsidRPr="00F94615" w:rsidRDefault="008E79FD" w:rsidP="00456D94">
            <w:pPr>
              <w:pStyle w:val="Default"/>
              <w:jc w:val="right"/>
              <w:rPr>
                <w:color w:val="auto"/>
                <w:sz w:val="26"/>
                <w:szCs w:val="26"/>
              </w:rPr>
            </w:pPr>
            <w:r w:rsidRPr="00F94615">
              <w:rPr>
                <w:color w:val="auto"/>
                <w:sz w:val="26"/>
                <w:szCs w:val="26"/>
              </w:rPr>
              <w:t>5</w:t>
            </w:r>
          </w:p>
        </w:tc>
      </w:tr>
      <w:tr w:rsidR="008E79FD" w:rsidRPr="00B24A20" w:rsidTr="00456D94">
        <w:trPr>
          <w:trHeight w:val="720"/>
        </w:trPr>
        <w:tc>
          <w:tcPr>
            <w:tcW w:w="9648" w:type="dxa"/>
            <w:vAlign w:val="center"/>
          </w:tcPr>
          <w:p w:rsidR="008E79FD" w:rsidRPr="00F94615" w:rsidRDefault="008E79FD" w:rsidP="00456D94">
            <w:pPr>
              <w:pStyle w:val="Default"/>
              <w:jc w:val="both"/>
              <w:rPr>
                <w:color w:val="auto"/>
                <w:sz w:val="26"/>
                <w:szCs w:val="26"/>
              </w:rPr>
            </w:pPr>
            <w:r w:rsidRPr="00F94615">
              <w:rPr>
                <w:color w:val="auto"/>
                <w:sz w:val="26"/>
                <w:szCs w:val="26"/>
              </w:rPr>
              <w:t>Selling to Government………………………………………………………………………………………………………</w:t>
            </w:r>
          </w:p>
        </w:tc>
        <w:tc>
          <w:tcPr>
            <w:tcW w:w="540" w:type="dxa"/>
            <w:vAlign w:val="center"/>
          </w:tcPr>
          <w:p w:rsidR="008E79FD" w:rsidRPr="00F94615" w:rsidRDefault="008E79FD" w:rsidP="00456D94">
            <w:pPr>
              <w:pStyle w:val="Default"/>
              <w:jc w:val="right"/>
              <w:rPr>
                <w:color w:val="auto"/>
                <w:sz w:val="26"/>
                <w:szCs w:val="26"/>
              </w:rPr>
            </w:pPr>
            <w:r w:rsidRPr="00F94615">
              <w:rPr>
                <w:color w:val="auto"/>
                <w:sz w:val="26"/>
                <w:szCs w:val="26"/>
              </w:rPr>
              <w:t>6</w:t>
            </w:r>
          </w:p>
        </w:tc>
      </w:tr>
      <w:tr w:rsidR="008E79FD" w:rsidRPr="00B24A20" w:rsidTr="00456D94">
        <w:trPr>
          <w:trHeight w:val="720"/>
        </w:trPr>
        <w:tc>
          <w:tcPr>
            <w:tcW w:w="9648" w:type="dxa"/>
            <w:vAlign w:val="center"/>
          </w:tcPr>
          <w:p w:rsidR="008E79FD" w:rsidRPr="00F94615" w:rsidRDefault="008E79FD" w:rsidP="00456D94">
            <w:pPr>
              <w:pStyle w:val="Default"/>
              <w:jc w:val="both"/>
              <w:rPr>
                <w:color w:val="auto"/>
                <w:sz w:val="26"/>
                <w:szCs w:val="26"/>
              </w:rPr>
            </w:pPr>
            <w:r w:rsidRPr="00F94615">
              <w:rPr>
                <w:color w:val="auto"/>
                <w:sz w:val="26"/>
                <w:szCs w:val="26"/>
              </w:rPr>
              <w:t>Capacity Building…….……………………..…………………..…………………………………………………………….</w:t>
            </w:r>
          </w:p>
        </w:tc>
        <w:tc>
          <w:tcPr>
            <w:tcW w:w="540" w:type="dxa"/>
            <w:vAlign w:val="center"/>
          </w:tcPr>
          <w:p w:rsidR="008E79FD" w:rsidRPr="00F94615" w:rsidRDefault="008E79FD" w:rsidP="00456D94">
            <w:pPr>
              <w:pStyle w:val="Default"/>
              <w:jc w:val="right"/>
              <w:rPr>
                <w:color w:val="auto"/>
                <w:sz w:val="26"/>
                <w:szCs w:val="26"/>
              </w:rPr>
            </w:pPr>
            <w:r w:rsidRPr="00F94615">
              <w:rPr>
                <w:color w:val="auto"/>
                <w:sz w:val="26"/>
                <w:szCs w:val="26"/>
              </w:rPr>
              <w:t>7</w:t>
            </w:r>
          </w:p>
        </w:tc>
      </w:tr>
      <w:tr w:rsidR="008E79FD" w:rsidRPr="00B24A20" w:rsidTr="00456D94">
        <w:trPr>
          <w:trHeight w:val="720"/>
        </w:trPr>
        <w:tc>
          <w:tcPr>
            <w:tcW w:w="9648" w:type="dxa"/>
            <w:vAlign w:val="center"/>
          </w:tcPr>
          <w:p w:rsidR="008E79FD" w:rsidRPr="00F94615" w:rsidRDefault="008E79FD" w:rsidP="00456D94">
            <w:pPr>
              <w:pStyle w:val="Default"/>
              <w:jc w:val="both"/>
              <w:rPr>
                <w:color w:val="auto"/>
                <w:sz w:val="26"/>
                <w:szCs w:val="26"/>
              </w:rPr>
            </w:pPr>
            <w:r w:rsidRPr="00F94615">
              <w:rPr>
                <w:color w:val="auto"/>
                <w:sz w:val="26"/>
                <w:szCs w:val="26"/>
              </w:rPr>
              <w:t>Program Compliance ………………………………………………………………………………………….…………….</w:t>
            </w:r>
          </w:p>
        </w:tc>
        <w:tc>
          <w:tcPr>
            <w:tcW w:w="540" w:type="dxa"/>
            <w:vAlign w:val="center"/>
          </w:tcPr>
          <w:p w:rsidR="008E79FD" w:rsidRPr="00F94615" w:rsidRDefault="008E79FD" w:rsidP="00456D94">
            <w:pPr>
              <w:pStyle w:val="Default"/>
              <w:jc w:val="right"/>
              <w:rPr>
                <w:color w:val="auto"/>
                <w:sz w:val="26"/>
                <w:szCs w:val="26"/>
              </w:rPr>
            </w:pPr>
            <w:r w:rsidRPr="00F94615">
              <w:rPr>
                <w:color w:val="auto"/>
                <w:sz w:val="26"/>
                <w:szCs w:val="26"/>
              </w:rPr>
              <w:t>9</w:t>
            </w:r>
          </w:p>
        </w:tc>
      </w:tr>
      <w:tr w:rsidR="008E79FD" w:rsidRPr="00B24A20" w:rsidTr="00456D94">
        <w:trPr>
          <w:trHeight w:val="720"/>
        </w:trPr>
        <w:tc>
          <w:tcPr>
            <w:tcW w:w="9648" w:type="dxa"/>
            <w:vAlign w:val="center"/>
          </w:tcPr>
          <w:p w:rsidR="008E79FD" w:rsidRPr="00F94615" w:rsidRDefault="008E79FD" w:rsidP="00456D94">
            <w:pPr>
              <w:pStyle w:val="Default"/>
              <w:jc w:val="both"/>
              <w:rPr>
                <w:color w:val="auto"/>
                <w:sz w:val="26"/>
                <w:szCs w:val="26"/>
              </w:rPr>
            </w:pPr>
            <w:r w:rsidRPr="00F94615">
              <w:rPr>
                <w:color w:val="auto"/>
                <w:sz w:val="26"/>
                <w:szCs w:val="26"/>
              </w:rPr>
              <w:t>Qualified Joint Venture Agreements…………………..…………………………………………………………….</w:t>
            </w:r>
          </w:p>
        </w:tc>
        <w:tc>
          <w:tcPr>
            <w:tcW w:w="540" w:type="dxa"/>
            <w:vAlign w:val="center"/>
          </w:tcPr>
          <w:p w:rsidR="008E79FD" w:rsidRPr="00F94615" w:rsidRDefault="007C4AA9" w:rsidP="007C4AA9">
            <w:pPr>
              <w:pStyle w:val="Default"/>
              <w:jc w:val="right"/>
              <w:rPr>
                <w:color w:val="auto"/>
                <w:sz w:val="26"/>
                <w:szCs w:val="26"/>
              </w:rPr>
            </w:pPr>
            <w:r>
              <w:rPr>
                <w:color w:val="auto"/>
                <w:sz w:val="26"/>
                <w:szCs w:val="26"/>
              </w:rPr>
              <w:t>9</w:t>
            </w:r>
          </w:p>
        </w:tc>
      </w:tr>
      <w:tr w:rsidR="008E79FD" w:rsidRPr="00B24A20" w:rsidTr="00C73B76">
        <w:trPr>
          <w:trHeight w:val="720"/>
        </w:trPr>
        <w:tc>
          <w:tcPr>
            <w:tcW w:w="9648" w:type="dxa"/>
            <w:vAlign w:val="center"/>
          </w:tcPr>
          <w:p w:rsidR="008E79FD" w:rsidRPr="00F94615" w:rsidRDefault="008E79FD" w:rsidP="00456D94">
            <w:pPr>
              <w:pStyle w:val="Default"/>
              <w:jc w:val="both"/>
              <w:rPr>
                <w:color w:val="auto"/>
                <w:sz w:val="26"/>
                <w:szCs w:val="26"/>
              </w:rPr>
            </w:pPr>
            <w:r w:rsidRPr="00F94615">
              <w:rPr>
                <w:color w:val="auto"/>
                <w:sz w:val="26"/>
                <w:szCs w:val="26"/>
              </w:rPr>
              <w:t>Efforts to Reduce or Eliminate Barriers to Competition……………………………………………………..</w:t>
            </w:r>
          </w:p>
        </w:tc>
        <w:tc>
          <w:tcPr>
            <w:tcW w:w="540" w:type="dxa"/>
            <w:vAlign w:val="center"/>
          </w:tcPr>
          <w:p w:rsidR="008E79FD" w:rsidRPr="00F94615" w:rsidRDefault="008E79FD" w:rsidP="00456D94">
            <w:pPr>
              <w:pStyle w:val="Default"/>
              <w:jc w:val="right"/>
              <w:rPr>
                <w:color w:val="auto"/>
                <w:sz w:val="26"/>
                <w:szCs w:val="26"/>
              </w:rPr>
            </w:pPr>
            <w:r w:rsidRPr="00F94615">
              <w:rPr>
                <w:color w:val="auto"/>
                <w:sz w:val="26"/>
                <w:szCs w:val="26"/>
              </w:rPr>
              <w:t>10</w:t>
            </w:r>
          </w:p>
        </w:tc>
      </w:tr>
      <w:tr w:rsidR="00C73B76" w:rsidRPr="005A5929" w:rsidTr="00C73B76">
        <w:trPr>
          <w:trHeight w:val="720"/>
        </w:trPr>
        <w:tc>
          <w:tcPr>
            <w:tcW w:w="9648" w:type="dxa"/>
          </w:tcPr>
          <w:p w:rsidR="00C73B76" w:rsidRDefault="00C73B76" w:rsidP="00254231">
            <w:pPr>
              <w:pStyle w:val="Default"/>
              <w:jc w:val="both"/>
              <w:rPr>
                <w:color w:val="auto"/>
                <w:sz w:val="26"/>
                <w:szCs w:val="26"/>
              </w:rPr>
            </w:pPr>
          </w:p>
          <w:p w:rsidR="00C73B76" w:rsidRPr="005A5929" w:rsidRDefault="00C73B76" w:rsidP="00254231">
            <w:pPr>
              <w:pStyle w:val="Default"/>
              <w:jc w:val="both"/>
              <w:rPr>
                <w:color w:val="auto"/>
                <w:sz w:val="26"/>
                <w:szCs w:val="26"/>
              </w:rPr>
            </w:pPr>
            <w:r w:rsidRPr="005A5929">
              <w:rPr>
                <w:color w:val="auto"/>
                <w:sz w:val="26"/>
                <w:szCs w:val="26"/>
              </w:rPr>
              <w:t>Prime Contracts M/WBE Utilization…..……………………….……………………………………………………..</w:t>
            </w:r>
          </w:p>
        </w:tc>
        <w:tc>
          <w:tcPr>
            <w:tcW w:w="540" w:type="dxa"/>
          </w:tcPr>
          <w:p w:rsidR="00C73B76" w:rsidRDefault="00C73B76" w:rsidP="00254231">
            <w:pPr>
              <w:pStyle w:val="Default"/>
              <w:jc w:val="right"/>
              <w:rPr>
                <w:color w:val="auto"/>
                <w:sz w:val="26"/>
                <w:szCs w:val="26"/>
              </w:rPr>
            </w:pPr>
          </w:p>
          <w:p w:rsidR="00C73B76" w:rsidRPr="005A5929" w:rsidRDefault="00CA216D" w:rsidP="00254231">
            <w:pPr>
              <w:pStyle w:val="Default"/>
              <w:jc w:val="right"/>
              <w:rPr>
                <w:color w:val="auto"/>
                <w:sz w:val="26"/>
                <w:szCs w:val="26"/>
              </w:rPr>
            </w:pPr>
            <w:r>
              <w:rPr>
                <w:color w:val="auto"/>
                <w:sz w:val="26"/>
                <w:szCs w:val="26"/>
              </w:rPr>
              <w:t>10</w:t>
            </w:r>
          </w:p>
        </w:tc>
      </w:tr>
      <w:tr w:rsidR="00C73B76" w:rsidRPr="005A5929" w:rsidTr="00C73B76">
        <w:trPr>
          <w:trHeight w:val="720"/>
        </w:trPr>
        <w:tc>
          <w:tcPr>
            <w:tcW w:w="9648" w:type="dxa"/>
          </w:tcPr>
          <w:p w:rsidR="00C73B76" w:rsidRDefault="00C73B76" w:rsidP="00254231">
            <w:pPr>
              <w:pStyle w:val="Default"/>
              <w:jc w:val="both"/>
              <w:rPr>
                <w:color w:val="auto"/>
                <w:sz w:val="26"/>
                <w:szCs w:val="26"/>
              </w:rPr>
            </w:pPr>
          </w:p>
          <w:p w:rsidR="00C73B76" w:rsidRPr="005A5929" w:rsidRDefault="00C73B76" w:rsidP="00254231">
            <w:pPr>
              <w:pStyle w:val="Default"/>
              <w:jc w:val="both"/>
              <w:rPr>
                <w:color w:val="auto"/>
                <w:sz w:val="26"/>
                <w:szCs w:val="26"/>
              </w:rPr>
            </w:pPr>
            <w:r w:rsidRPr="005A5929">
              <w:rPr>
                <w:color w:val="auto"/>
                <w:sz w:val="26"/>
                <w:szCs w:val="26"/>
              </w:rPr>
              <w:t>Subcontracts M/WBE Utilization...…………………………………………………………………………………….</w:t>
            </w:r>
          </w:p>
        </w:tc>
        <w:tc>
          <w:tcPr>
            <w:tcW w:w="540" w:type="dxa"/>
          </w:tcPr>
          <w:p w:rsidR="00C73B76" w:rsidRDefault="00C73B76" w:rsidP="00254231">
            <w:pPr>
              <w:pStyle w:val="Default"/>
              <w:jc w:val="right"/>
              <w:rPr>
                <w:color w:val="auto"/>
                <w:sz w:val="26"/>
                <w:szCs w:val="26"/>
              </w:rPr>
            </w:pPr>
          </w:p>
          <w:p w:rsidR="00C73B76" w:rsidRPr="005A5929" w:rsidRDefault="00C73B76" w:rsidP="00254231">
            <w:pPr>
              <w:pStyle w:val="Default"/>
              <w:jc w:val="right"/>
              <w:rPr>
                <w:color w:val="auto"/>
                <w:sz w:val="26"/>
                <w:szCs w:val="26"/>
              </w:rPr>
            </w:pPr>
            <w:r w:rsidRPr="005A5929">
              <w:rPr>
                <w:color w:val="auto"/>
                <w:sz w:val="26"/>
                <w:szCs w:val="26"/>
              </w:rPr>
              <w:t>13</w:t>
            </w:r>
          </w:p>
        </w:tc>
      </w:tr>
      <w:tr w:rsidR="00C73B76" w:rsidRPr="005A5929" w:rsidTr="00C73B76">
        <w:trPr>
          <w:trHeight w:val="720"/>
        </w:trPr>
        <w:tc>
          <w:tcPr>
            <w:tcW w:w="9648" w:type="dxa"/>
          </w:tcPr>
          <w:p w:rsidR="00C73B76" w:rsidRDefault="00C73B76" w:rsidP="00254231">
            <w:pPr>
              <w:pStyle w:val="Default"/>
              <w:jc w:val="both"/>
              <w:rPr>
                <w:color w:val="auto"/>
                <w:sz w:val="26"/>
                <w:szCs w:val="26"/>
              </w:rPr>
            </w:pPr>
          </w:p>
          <w:p w:rsidR="00C73B76" w:rsidRPr="005A5929" w:rsidRDefault="00C73B76" w:rsidP="00254231">
            <w:pPr>
              <w:pStyle w:val="Default"/>
              <w:jc w:val="both"/>
              <w:rPr>
                <w:color w:val="auto"/>
                <w:sz w:val="26"/>
                <w:szCs w:val="26"/>
              </w:rPr>
            </w:pPr>
            <w:r w:rsidRPr="005A5929">
              <w:rPr>
                <w:color w:val="auto"/>
                <w:sz w:val="26"/>
                <w:szCs w:val="26"/>
              </w:rPr>
              <w:t>Waivers……………………………………………………………………………………………………………………………</w:t>
            </w:r>
          </w:p>
        </w:tc>
        <w:tc>
          <w:tcPr>
            <w:tcW w:w="540" w:type="dxa"/>
          </w:tcPr>
          <w:p w:rsidR="00C73B76" w:rsidRDefault="00C73B76" w:rsidP="00254231">
            <w:pPr>
              <w:pStyle w:val="Default"/>
              <w:jc w:val="right"/>
              <w:rPr>
                <w:color w:val="auto"/>
                <w:sz w:val="26"/>
                <w:szCs w:val="26"/>
              </w:rPr>
            </w:pPr>
          </w:p>
          <w:p w:rsidR="00C73B76" w:rsidRPr="005A5929" w:rsidRDefault="00C73B76" w:rsidP="00254231">
            <w:pPr>
              <w:pStyle w:val="Default"/>
              <w:jc w:val="right"/>
              <w:rPr>
                <w:color w:val="auto"/>
                <w:sz w:val="26"/>
                <w:szCs w:val="26"/>
              </w:rPr>
            </w:pPr>
            <w:r w:rsidRPr="005A5929">
              <w:rPr>
                <w:color w:val="auto"/>
                <w:sz w:val="26"/>
                <w:szCs w:val="26"/>
              </w:rPr>
              <w:t>14</w:t>
            </w:r>
          </w:p>
        </w:tc>
      </w:tr>
      <w:tr w:rsidR="00C73B76" w:rsidRPr="005A5929" w:rsidTr="00C73B76">
        <w:trPr>
          <w:trHeight w:val="720"/>
        </w:trPr>
        <w:tc>
          <w:tcPr>
            <w:tcW w:w="9648" w:type="dxa"/>
          </w:tcPr>
          <w:p w:rsidR="00C73B76" w:rsidRDefault="00C73B76" w:rsidP="00254231">
            <w:pPr>
              <w:pStyle w:val="Default"/>
              <w:jc w:val="both"/>
              <w:rPr>
                <w:color w:val="auto"/>
                <w:sz w:val="26"/>
                <w:szCs w:val="26"/>
              </w:rPr>
            </w:pPr>
          </w:p>
          <w:p w:rsidR="00C73B76" w:rsidRPr="005A5929" w:rsidRDefault="00C73B76" w:rsidP="00254231">
            <w:pPr>
              <w:pStyle w:val="Default"/>
              <w:jc w:val="both"/>
              <w:rPr>
                <w:color w:val="auto"/>
                <w:sz w:val="26"/>
                <w:szCs w:val="26"/>
              </w:rPr>
            </w:pPr>
            <w:r w:rsidRPr="005A5929">
              <w:rPr>
                <w:color w:val="auto"/>
                <w:sz w:val="26"/>
                <w:szCs w:val="26"/>
              </w:rPr>
              <w:t>Large Scale Procurement Approvals………………………………………………………………………………….</w:t>
            </w:r>
          </w:p>
        </w:tc>
        <w:tc>
          <w:tcPr>
            <w:tcW w:w="540" w:type="dxa"/>
          </w:tcPr>
          <w:p w:rsidR="00C73B76" w:rsidRDefault="00C73B76" w:rsidP="00254231">
            <w:pPr>
              <w:pStyle w:val="Default"/>
              <w:jc w:val="right"/>
              <w:rPr>
                <w:color w:val="auto"/>
                <w:sz w:val="26"/>
                <w:szCs w:val="26"/>
              </w:rPr>
            </w:pPr>
          </w:p>
          <w:p w:rsidR="00C73B76" w:rsidRPr="005A5929" w:rsidRDefault="00C73B76" w:rsidP="00254231">
            <w:pPr>
              <w:pStyle w:val="Default"/>
              <w:jc w:val="right"/>
              <w:rPr>
                <w:color w:val="auto"/>
                <w:sz w:val="26"/>
                <w:szCs w:val="26"/>
              </w:rPr>
            </w:pPr>
            <w:r w:rsidRPr="005A5929">
              <w:rPr>
                <w:color w:val="auto"/>
                <w:sz w:val="26"/>
                <w:szCs w:val="26"/>
              </w:rPr>
              <w:t>15</w:t>
            </w:r>
          </w:p>
        </w:tc>
      </w:tr>
      <w:tr w:rsidR="00C73B76" w:rsidRPr="005A5929" w:rsidTr="00C73B76">
        <w:trPr>
          <w:trHeight w:val="720"/>
        </w:trPr>
        <w:tc>
          <w:tcPr>
            <w:tcW w:w="9648" w:type="dxa"/>
          </w:tcPr>
          <w:p w:rsidR="00C73B76" w:rsidRDefault="00C73B76" w:rsidP="00254231">
            <w:pPr>
              <w:pStyle w:val="Default"/>
              <w:jc w:val="both"/>
              <w:rPr>
                <w:color w:val="auto"/>
                <w:sz w:val="26"/>
                <w:szCs w:val="26"/>
              </w:rPr>
            </w:pPr>
          </w:p>
          <w:p w:rsidR="00C73B76" w:rsidRPr="005A5929" w:rsidRDefault="00C73B76" w:rsidP="00254231">
            <w:pPr>
              <w:pStyle w:val="Default"/>
              <w:jc w:val="both"/>
              <w:rPr>
                <w:color w:val="auto"/>
                <w:sz w:val="26"/>
                <w:szCs w:val="26"/>
              </w:rPr>
            </w:pPr>
            <w:r w:rsidRPr="005A5929">
              <w:rPr>
                <w:color w:val="auto"/>
                <w:sz w:val="26"/>
                <w:szCs w:val="26"/>
              </w:rPr>
              <w:t>Complaints, Modifications and Noncompliance…………………………………………………………………</w:t>
            </w:r>
          </w:p>
        </w:tc>
        <w:tc>
          <w:tcPr>
            <w:tcW w:w="540" w:type="dxa"/>
          </w:tcPr>
          <w:p w:rsidR="00C73B76" w:rsidRDefault="00C73B76" w:rsidP="00254231">
            <w:pPr>
              <w:pStyle w:val="Default"/>
              <w:jc w:val="right"/>
              <w:rPr>
                <w:color w:val="auto"/>
                <w:sz w:val="26"/>
                <w:szCs w:val="26"/>
              </w:rPr>
            </w:pPr>
          </w:p>
          <w:p w:rsidR="00C73B76" w:rsidRPr="005A5929" w:rsidRDefault="00C73B76" w:rsidP="00254231">
            <w:pPr>
              <w:pStyle w:val="Default"/>
              <w:jc w:val="right"/>
              <w:rPr>
                <w:color w:val="auto"/>
                <w:sz w:val="26"/>
                <w:szCs w:val="26"/>
              </w:rPr>
            </w:pPr>
            <w:r w:rsidRPr="005A5929">
              <w:rPr>
                <w:color w:val="auto"/>
                <w:sz w:val="26"/>
                <w:szCs w:val="26"/>
              </w:rPr>
              <w:t>15</w:t>
            </w:r>
          </w:p>
        </w:tc>
      </w:tr>
    </w:tbl>
    <w:p w:rsidR="0030114E" w:rsidRPr="00082C00" w:rsidRDefault="0030114E" w:rsidP="0030114E">
      <w:pPr>
        <w:spacing w:after="200" w:line="276" w:lineRule="auto"/>
        <w:jc w:val="both"/>
        <w:rPr>
          <w:rFonts w:ascii="Calibri" w:hAnsi="Calibri"/>
          <w:b/>
          <w:sz w:val="26"/>
          <w:szCs w:val="26"/>
        </w:rPr>
      </w:pPr>
      <w:r w:rsidRPr="00082C00">
        <w:rPr>
          <w:rFonts w:ascii="Calibri" w:hAnsi="Calibri"/>
          <w:b/>
          <w:sz w:val="26"/>
          <w:szCs w:val="26"/>
        </w:rPr>
        <w:br w:type="page"/>
      </w:r>
    </w:p>
    <w:p w:rsidR="00112B17" w:rsidRPr="0054285A" w:rsidRDefault="00112B17" w:rsidP="00112B17">
      <w:pPr>
        <w:spacing w:after="360" w:line="360" w:lineRule="auto"/>
        <w:jc w:val="both"/>
        <w:rPr>
          <w:rFonts w:ascii="Calibri" w:hAnsi="Calibri"/>
          <w:b/>
          <w:sz w:val="26"/>
          <w:szCs w:val="26"/>
        </w:rPr>
      </w:pPr>
      <w:r w:rsidRPr="0054285A">
        <w:rPr>
          <w:rFonts w:ascii="Calibri" w:hAnsi="Calibri"/>
          <w:b/>
          <w:sz w:val="26"/>
          <w:szCs w:val="26"/>
        </w:rPr>
        <w:lastRenderedPageBreak/>
        <w:t>Introduction</w:t>
      </w:r>
    </w:p>
    <w:p w:rsidR="00112B17" w:rsidRPr="00D55DF9" w:rsidRDefault="00112B17" w:rsidP="00112B17">
      <w:pPr>
        <w:spacing w:after="360" w:line="360" w:lineRule="auto"/>
        <w:jc w:val="both"/>
        <w:rPr>
          <w:rFonts w:ascii="Calibri" w:hAnsi="Calibri"/>
          <w:sz w:val="24"/>
          <w:szCs w:val="24"/>
        </w:rPr>
      </w:pPr>
      <w:r w:rsidRPr="00D55DF9">
        <w:rPr>
          <w:rFonts w:ascii="Calibri" w:hAnsi="Calibri"/>
          <w:sz w:val="24"/>
          <w:szCs w:val="24"/>
        </w:rPr>
        <w:t xml:space="preserve">This report describes the City’s efforts to ensure minority and women-owned businesses have greater access to public contracting opportunities.  </w:t>
      </w:r>
      <w:r w:rsidRPr="00271CF5">
        <w:rPr>
          <w:rFonts w:ascii="Calibri" w:hAnsi="Calibri"/>
          <w:sz w:val="24"/>
          <w:szCs w:val="24"/>
        </w:rPr>
        <w:t>The reporting period covers program acco</w:t>
      </w:r>
      <w:r w:rsidR="00C325E1">
        <w:rPr>
          <w:rFonts w:ascii="Calibri" w:hAnsi="Calibri"/>
          <w:sz w:val="24"/>
          <w:szCs w:val="24"/>
        </w:rPr>
        <w:t>mplishments for</w:t>
      </w:r>
      <w:r w:rsidR="003E009C">
        <w:rPr>
          <w:rFonts w:ascii="Calibri" w:hAnsi="Calibri"/>
          <w:sz w:val="24"/>
          <w:szCs w:val="24"/>
        </w:rPr>
        <w:t xml:space="preserve"> the</w:t>
      </w:r>
      <w:r w:rsidR="00CC1FDD">
        <w:rPr>
          <w:rFonts w:ascii="Calibri" w:hAnsi="Calibri"/>
          <w:sz w:val="24"/>
          <w:szCs w:val="24"/>
        </w:rPr>
        <w:t xml:space="preserve"> first three</w:t>
      </w:r>
      <w:r w:rsidR="0010748A">
        <w:rPr>
          <w:rFonts w:ascii="Calibri" w:hAnsi="Calibri"/>
          <w:sz w:val="24"/>
          <w:szCs w:val="24"/>
        </w:rPr>
        <w:t xml:space="preserve"> </w:t>
      </w:r>
      <w:r w:rsidR="00C325E1">
        <w:rPr>
          <w:rFonts w:ascii="Calibri" w:hAnsi="Calibri"/>
          <w:sz w:val="24"/>
          <w:szCs w:val="24"/>
        </w:rPr>
        <w:t>q</w:t>
      </w:r>
      <w:r w:rsidR="00993755">
        <w:rPr>
          <w:rFonts w:ascii="Calibri" w:hAnsi="Calibri"/>
          <w:sz w:val="24"/>
          <w:szCs w:val="24"/>
        </w:rPr>
        <w:t>uarter</w:t>
      </w:r>
      <w:r w:rsidR="0010748A">
        <w:rPr>
          <w:rFonts w:ascii="Calibri" w:hAnsi="Calibri"/>
          <w:sz w:val="24"/>
          <w:szCs w:val="24"/>
        </w:rPr>
        <w:t>s</w:t>
      </w:r>
      <w:r w:rsidR="00993755">
        <w:rPr>
          <w:rFonts w:ascii="Calibri" w:hAnsi="Calibri"/>
          <w:sz w:val="24"/>
          <w:szCs w:val="24"/>
        </w:rPr>
        <w:t xml:space="preserve"> of Fiscal Year 2017 (</w:t>
      </w:r>
      <w:r w:rsidR="00CC1FDD">
        <w:rPr>
          <w:rFonts w:ascii="Calibri" w:hAnsi="Calibri"/>
          <w:sz w:val="24"/>
          <w:szCs w:val="24"/>
        </w:rPr>
        <w:t>July 1, 2016</w:t>
      </w:r>
      <w:r w:rsidRPr="00271CF5">
        <w:rPr>
          <w:rFonts w:ascii="Calibri" w:hAnsi="Calibri"/>
          <w:sz w:val="24"/>
          <w:szCs w:val="24"/>
        </w:rPr>
        <w:t xml:space="preserve"> –</w:t>
      </w:r>
      <w:r w:rsidR="00993755">
        <w:rPr>
          <w:rFonts w:ascii="Calibri" w:hAnsi="Calibri"/>
          <w:sz w:val="24"/>
          <w:szCs w:val="24"/>
        </w:rPr>
        <w:t xml:space="preserve"> </w:t>
      </w:r>
      <w:r w:rsidR="00C10B9C">
        <w:rPr>
          <w:rFonts w:ascii="Calibri" w:hAnsi="Calibri"/>
          <w:sz w:val="24"/>
          <w:szCs w:val="24"/>
        </w:rPr>
        <w:t>March</w:t>
      </w:r>
      <w:r w:rsidR="00993755">
        <w:rPr>
          <w:rFonts w:ascii="Calibri" w:hAnsi="Calibri"/>
          <w:sz w:val="24"/>
          <w:szCs w:val="24"/>
        </w:rPr>
        <w:t xml:space="preserve"> 31</w:t>
      </w:r>
      <w:r w:rsidR="00C10B9C">
        <w:rPr>
          <w:rFonts w:ascii="Calibri" w:hAnsi="Calibri"/>
          <w:sz w:val="24"/>
          <w:szCs w:val="24"/>
        </w:rPr>
        <w:t>, 2017</w:t>
      </w:r>
      <w:r w:rsidRPr="00271CF5">
        <w:rPr>
          <w:rFonts w:ascii="Calibri" w:hAnsi="Calibri"/>
          <w:sz w:val="24"/>
          <w:szCs w:val="24"/>
        </w:rPr>
        <w:t xml:space="preserve">).  As </w:t>
      </w:r>
      <w:r w:rsidRPr="00D55DF9">
        <w:rPr>
          <w:rFonts w:ascii="Calibri" w:hAnsi="Calibri"/>
          <w:sz w:val="24"/>
          <w:szCs w:val="24"/>
        </w:rPr>
        <w:t>per the New York City Administrative Code §</w:t>
      </w:r>
      <w:r w:rsidRPr="008B12D7">
        <w:rPr>
          <w:rFonts w:ascii="Calibri" w:hAnsi="Calibri"/>
          <w:sz w:val="24"/>
          <w:szCs w:val="24"/>
        </w:rPr>
        <w:t>6-129(l)1</w:t>
      </w:r>
      <w:r w:rsidRPr="00D55DF9">
        <w:rPr>
          <w:rFonts w:ascii="Calibri" w:hAnsi="Calibri"/>
          <w:sz w:val="24"/>
          <w:szCs w:val="24"/>
        </w:rPr>
        <w:t>, the report is jointly submitted by the Director of the Mayor’s Off</w:t>
      </w:r>
      <w:r>
        <w:rPr>
          <w:rFonts w:ascii="Calibri" w:hAnsi="Calibri"/>
          <w:sz w:val="24"/>
          <w:szCs w:val="24"/>
        </w:rPr>
        <w:t>ice of Contract Services (MOCS)</w:t>
      </w:r>
      <w:r w:rsidR="009D165D">
        <w:rPr>
          <w:rFonts w:ascii="Calibri" w:hAnsi="Calibri"/>
          <w:sz w:val="24"/>
          <w:szCs w:val="24"/>
        </w:rPr>
        <w:t>,</w:t>
      </w:r>
      <w:r w:rsidRPr="00D55DF9">
        <w:rPr>
          <w:rFonts w:ascii="Calibri" w:hAnsi="Calibri"/>
          <w:sz w:val="24"/>
          <w:szCs w:val="24"/>
        </w:rPr>
        <w:t xml:space="preserve"> as</w:t>
      </w:r>
      <w:r>
        <w:rPr>
          <w:rFonts w:ascii="Calibri" w:hAnsi="Calibri"/>
          <w:sz w:val="24"/>
          <w:szCs w:val="24"/>
        </w:rPr>
        <w:t xml:space="preserve"> City Chief Procurement Officer</w:t>
      </w:r>
      <w:r w:rsidR="009D165D">
        <w:rPr>
          <w:rFonts w:ascii="Calibri" w:hAnsi="Calibri"/>
          <w:sz w:val="24"/>
          <w:szCs w:val="24"/>
        </w:rPr>
        <w:t>,</w:t>
      </w:r>
      <w:r w:rsidRPr="00D55DF9">
        <w:rPr>
          <w:rFonts w:ascii="Calibri" w:hAnsi="Calibri"/>
          <w:sz w:val="24"/>
          <w:szCs w:val="24"/>
        </w:rPr>
        <w:t xml:space="preserve"> and by the Commissioner of the Department of Small Business Services (SBS).</w:t>
      </w:r>
    </w:p>
    <w:p w:rsidR="00112B17" w:rsidRPr="00D55DF9" w:rsidRDefault="00112B17" w:rsidP="00112B17">
      <w:pPr>
        <w:spacing w:after="360" w:line="360" w:lineRule="auto"/>
        <w:jc w:val="both"/>
        <w:rPr>
          <w:rFonts w:ascii="Calibri" w:hAnsi="Calibri"/>
          <w:sz w:val="24"/>
          <w:szCs w:val="24"/>
        </w:rPr>
      </w:pPr>
      <w:r w:rsidRPr="00D55DF9">
        <w:rPr>
          <w:rFonts w:ascii="Calibri" w:hAnsi="Calibri"/>
          <w:sz w:val="24"/>
          <w:szCs w:val="24"/>
        </w:rPr>
        <w:t>This report</w:t>
      </w:r>
      <w:r w:rsidR="00FD20AD">
        <w:rPr>
          <w:rFonts w:ascii="Calibri" w:hAnsi="Calibri"/>
          <w:sz w:val="24"/>
          <w:szCs w:val="24"/>
        </w:rPr>
        <w:t xml:space="preserve"> </w:t>
      </w:r>
      <w:r w:rsidRPr="00D55DF9">
        <w:rPr>
          <w:rFonts w:ascii="Calibri" w:hAnsi="Calibri"/>
          <w:sz w:val="24"/>
          <w:szCs w:val="24"/>
        </w:rPr>
        <w:t>summarizes program activity, prime contract</w:t>
      </w:r>
      <w:r>
        <w:rPr>
          <w:rFonts w:ascii="Calibri" w:hAnsi="Calibri"/>
          <w:sz w:val="24"/>
          <w:szCs w:val="24"/>
        </w:rPr>
        <w:t>,</w:t>
      </w:r>
      <w:r w:rsidRPr="00D55DF9">
        <w:rPr>
          <w:rFonts w:ascii="Calibri" w:hAnsi="Calibri"/>
          <w:sz w:val="24"/>
          <w:szCs w:val="24"/>
        </w:rPr>
        <w:t xml:space="preserve"> and subcontract utilization data for City-certified Minority and Women-</w:t>
      </w:r>
      <w:r w:rsidR="00150DCA">
        <w:rPr>
          <w:rFonts w:ascii="Calibri" w:hAnsi="Calibri"/>
          <w:sz w:val="24"/>
          <w:szCs w:val="24"/>
        </w:rPr>
        <w:t>O</w:t>
      </w:r>
      <w:r w:rsidRPr="00D55DF9">
        <w:rPr>
          <w:rFonts w:ascii="Calibri" w:hAnsi="Calibri"/>
          <w:sz w:val="24"/>
          <w:szCs w:val="24"/>
        </w:rPr>
        <w:t xml:space="preserve">wned Business Enterprises (M/WBEs) and Emerging Business Enterprises (EBEs), as well as additional data specified in Section 6-129 of the New </w:t>
      </w:r>
      <w:r>
        <w:rPr>
          <w:rFonts w:ascii="Calibri" w:hAnsi="Calibri"/>
          <w:sz w:val="24"/>
          <w:szCs w:val="24"/>
        </w:rPr>
        <w:t xml:space="preserve">York City Administrative Code. </w:t>
      </w:r>
      <w:r w:rsidRPr="00D55DF9">
        <w:rPr>
          <w:rFonts w:ascii="Calibri" w:hAnsi="Calibri"/>
          <w:sz w:val="24"/>
          <w:szCs w:val="24"/>
        </w:rPr>
        <w:t xml:space="preserve">The report covers contracts that were registered and </w:t>
      </w:r>
      <w:r w:rsidRPr="00271CF5">
        <w:rPr>
          <w:rFonts w:ascii="Calibri" w:hAnsi="Calibri"/>
          <w:sz w:val="24"/>
          <w:szCs w:val="24"/>
        </w:rPr>
        <w:t>subcontracts approved in</w:t>
      </w:r>
      <w:r w:rsidR="007945FD">
        <w:rPr>
          <w:rFonts w:ascii="Calibri" w:hAnsi="Calibri"/>
          <w:sz w:val="24"/>
          <w:szCs w:val="24"/>
        </w:rPr>
        <w:t xml:space="preserve"> the first</w:t>
      </w:r>
      <w:r w:rsidR="00993755">
        <w:rPr>
          <w:rFonts w:ascii="Calibri" w:hAnsi="Calibri"/>
          <w:sz w:val="24"/>
          <w:szCs w:val="24"/>
        </w:rPr>
        <w:t xml:space="preserve"> </w:t>
      </w:r>
      <w:r w:rsidR="00C10B9C">
        <w:rPr>
          <w:rFonts w:ascii="Calibri" w:hAnsi="Calibri"/>
          <w:sz w:val="24"/>
          <w:szCs w:val="24"/>
        </w:rPr>
        <w:t>three</w:t>
      </w:r>
      <w:r w:rsidR="007945FD">
        <w:rPr>
          <w:rFonts w:ascii="Calibri" w:hAnsi="Calibri"/>
          <w:sz w:val="24"/>
          <w:szCs w:val="24"/>
        </w:rPr>
        <w:t xml:space="preserve"> </w:t>
      </w:r>
      <w:r w:rsidR="00710579">
        <w:rPr>
          <w:rFonts w:ascii="Calibri" w:hAnsi="Calibri"/>
          <w:sz w:val="24"/>
          <w:szCs w:val="24"/>
        </w:rPr>
        <w:t>quarter</w:t>
      </w:r>
      <w:r w:rsidR="007945FD">
        <w:rPr>
          <w:rFonts w:ascii="Calibri" w:hAnsi="Calibri"/>
          <w:sz w:val="24"/>
          <w:szCs w:val="24"/>
        </w:rPr>
        <w:t>s</w:t>
      </w:r>
      <w:r w:rsidR="00710579">
        <w:rPr>
          <w:rFonts w:ascii="Calibri" w:hAnsi="Calibri"/>
          <w:sz w:val="24"/>
          <w:szCs w:val="24"/>
        </w:rPr>
        <w:t xml:space="preserve"> of FY 2017</w:t>
      </w:r>
      <w:r w:rsidRPr="00D55DF9">
        <w:rPr>
          <w:rFonts w:ascii="Calibri" w:hAnsi="Calibri"/>
          <w:sz w:val="24"/>
          <w:szCs w:val="24"/>
        </w:rPr>
        <w:t xml:space="preserve">, including procurements that were solicited before LL 1 became effective and </w:t>
      </w:r>
      <w:r>
        <w:rPr>
          <w:rFonts w:ascii="Calibri" w:hAnsi="Calibri"/>
          <w:sz w:val="24"/>
          <w:szCs w:val="24"/>
        </w:rPr>
        <w:t xml:space="preserve">are </w:t>
      </w:r>
      <w:r w:rsidRPr="00D55DF9">
        <w:rPr>
          <w:rFonts w:ascii="Calibri" w:hAnsi="Calibri"/>
          <w:sz w:val="24"/>
          <w:szCs w:val="24"/>
        </w:rPr>
        <w:t>subject to LL 129.</w:t>
      </w:r>
      <w:r w:rsidRPr="00D55DF9">
        <w:rPr>
          <w:rStyle w:val="FootnoteReference"/>
          <w:rFonts w:ascii="Calibri" w:hAnsi="Calibri"/>
          <w:sz w:val="24"/>
          <w:szCs w:val="24"/>
        </w:rPr>
        <w:footnoteReference w:id="1"/>
      </w:r>
      <w:r w:rsidRPr="00D55DF9">
        <w:rPr>
          <w:rFonts w:ascii="Calibri" w:hAnsi="Calibri"/>
          <w:sz w:val="24"/>
          <w:szCs w:val="24"/>
        </w:rPr>
        <w:t xml:space="preserve">  The </w:t>
      </w:r>
      <w:r>
        <w:rPr>
          <w:rFonts w:ascii="Calibri" w:hAnsi="Calibri"/>
          <w:sz w:val="24"/>
          <w:szCs w:val="24"/>
        </w:rPr>
        <w:t xml:space="preserve">City’s </w:t>
      </w:r>
      <w:r w:rsidRPr="00D55DF9">
        <w:rPr>
          <w:rFonts w:ascii="Calibri" w:hAnsi="Calibri"/>
          <w:sz w:val="24"/>
          <w:szCs w:val="24"/>
        </w:rPr>
        <w:t>M/WBE program is</w:t>
      </w:r>
      <w:r w:rsidR="008E5BE8">
        <w:rPr>
          <w:rFonts w:ascii="Calibri" w:hAnsi="Calibri"/>
          <w:sz w:val="24"/>
          <w:szCs w:val="24"/>
        </w:rPr>
        <w:t xml:space="preserve"> led by the Mayor’s Office of M/WBEs and is</w:t>
      </w:r>
      <w:r w:rsidRPr="00D55DF9">
        <w:rPr>
          <w:rFonts w:ascii="Calibri" w:hAnsi="Calibri"/>
          <w:sz w:val="24"/>
          <w:szCs w:val="24"/>
        </w:rPr>
        <w:t xml:space="preserve"> administered </w:t>
      </w:r>
      <w:r w:rsidR="008E5BE8">
        <w:rPr>
          <w:rFonts w:ascii="Calibri" w:hAnsi="Calibri"/>
          <w:sz w:val="24"/>
          <w:szCs w:val="24"/>
        </w:rPr>
        <w:t>in partner</w:t>
      </w:r>
      <w:r w:rsidR="0041680E">
        <w:rPr>
          <w:rFonts w:ascii="Calibri" w:hAnsi="Calibri"/>
          <w:sz w:val="24"/>
          <w:szCs w:val="24"/>
        </w:rPr>
        <w:t>s</w:t>
      </w:r>
      <w:r w:rsidR="008E5BE8">
        <w:rPr>
          <w:rFonts w:ascii="Calibri" w:hAnsi="Calibri"/>
          <w:sz w:val="24"/>
          <w:szCs w:val="24"/>
        </w:rPr>
        <w:t>hip with</w:t>
      </w:r>
      <w:r w:rsidRPr="00D55DF9">
        <w:rPr>
          <w:rFonts w:ascii="Calibri" w:hAnsi="Calibri"/>
          <w:sz w:val="24"/>
          <w:szCs w:val="24"/>
        </w:rPr>
        <w:t xml:space="preserve"> SBS and MOCS.</w:t>
      </w:r>
    </w:p>
    <w:p w:rsidR="00112B17" w:rsidRPr="00AD1902" w:rsidRDefault="00112B17" w:rsidP="00112B17">
      <w:pPr>
        <w:spacing w:after="360" w:line="360" w:lineRule="auto"/>
        <w:jc w:val="both"/>
        <w:rPr>
          <w:rFonts w:ascii="Calibri" w:hAnsi="Calibri"/>
          <w:sz w:val="24"/>
          <w:szCs w:val="24"/>
        </w:rPr>
      </w:pPr>
      <w:r w:rsidRPr="000419EA">
        <w:rPr>
          <w:rFonts w:ascii="Calibri" w:hAnsi="Calibri"/>
          <w:sz w:val="24"/>
          <w:szCs w:val="24"/>
        </w:rPr>
        <w:t xml:space="preserve">In addition to the requirement that the </w:t>
      </w:r>
      <w:r>
        <w:rPr>
          <w:rFonts w:ascii="Calibri" w:hAnsi="Calibri"/>
          <w:sz w:val="24"/>
          <w:szCs w:val="24"/>
        </w:rPr>
        <w:t>City find vendors responsible, S</w:t>
      </w:r>
      <w:r w:rsidRPr="000419EA">
        <w:rPr>
          <w:rFonts w:ascii="Calibri" w:hAnsi="Calibri"/>
          <w:sz w:val="24"/>
          <w:szCs w:val="24"/>
        </w:rPr>
        <w:t>tate law also requires that most contracts be awarded to the lowest responsive bidder or the best proposer.  SBS has worked aggressively to expand opportunities for minority and women-owned firms by connecting them to a comprehensive range of programs that provide procurement technical assistance and capacity building support, as well as other resources to</w:t>
      </w:r>
      <w:r w:rsidRPr="00AA3045">
        <w:rPr>
          <w:rFonts w:ascii="Calibri" w:hAnsi="Calibri"/>
          <w:sz w:val="24"/>
          <w:szCs w:val="24"/>
        </w:rPr>
        <w:t xml:space="preserve"> help them navigate and compete in the public procurement marketplace. </w:t>
      </w:r>
      <w:r w:rsidRPr="007A5B93">
        <w:rPr>
          <w:rFonts w:ascii="Calibri" w:hAnsi="Calibri"/>
          <w:color w:val="0070C0"/>
          <w:sz w:val="24"/>
          <w:szCs w:val="24"/>
        </w:rPr>
        <w:t xml:space="preserve"> </w:t>
      </w:r>
      <w:r w:rsidR="00CC1FDD">
        <w:rPr>
          <w:rFonts w:ascii="Calibri" w:hAnsi="Calibri"/>
          <w:sz w:val="24"/>
          <w:szCs w:val="24"/>
        </w:rPr>
        <w:t>During three quarters</w:t>
      </w:r>
      <w:r w:rsidR="00710579">
        <w:rPr>
          <w:rFonts w:ascii="Calibri" w:hAnsi="Calibri"/>
          <w:sz w:val="24"/>
          <w:szCs w:val="24"/>
        </w:rPr>
        <w:t xml:space="preserve"> of FY 2017</w:t>
      </w:r>
      <w:r w:rsidR="002D0A01">
        <w:rPr>
          <w:rFonts w:ascii="Calibri" w:hAnsi="Calibri"/>
          <w:sz w:val="24"/>
          <w:szCs w:val="24"/>
        </w:rPr>
        <w:t>,</w:t>
      </w:r>
      <w:r w:rsidRPr="00AD1902">
        <w:rPr>
          <w:rFonts w:ascii="Calibri" w:hAnsi="Calibri"/>
          <w:sz w:val="24"/>
          <w:szCs w:val="24"/>
        </w:rPr>
        <w:t xml:space="preserve"> M/WBEs were awarded </w:t>
      </w:r>
      <w:r>
        <w:rPr>
          <w:rFonts w:ascii="Calibri" w:hAnsi="Calibri"/>
          <w:sz w:val="24"/>
          <w:szCs w:val="24"/>
        </w:rPr>
        <w:t>over</w:t>
      </w:r>
      <w:r w:rsidRPr="00AD1902">
        <w:rPr>
          <w:rFonts w:ascii="Calibri" w:hAnsi="Calibri"/>
          <w:sz w:val="24"/>
          <w:szCs w:val="24"/>
        </w:rPr>
        <w:t xml:space="preserve"> </w:t>
      </w:r>
      <w:r w:rsidR="002E2BAE">
        <w:rPr>
          <w:rFonts w:ascii="Calibri" w:hAnsi="Calibri"/>
          <w:sz w:val="24"/>
          <w:szCs w:val="24"/>
        </w:rPr>
        <w:t>$</w:t>
      </w:r>
      <w:r w:rsidR="00C10B9C">
        <w:rPr>
          <w:rFonts w:ascii="Calibri" w:hAnsi="Calibri"/>
          <w:sz w:val="24"/>
          <w:szCs w:val="24"/>
        </w:rPr>
        <w:t>722</w:t>
      </w:r>
      <w:r w:rsidR="002E2BAE">
        <w:rPr>
          <w:rFonts w:ascii="Calibri" w:hAnsi="Calibri"/>
          <w:sz w:val="24"/>
          <w:szCs w:val="24"/>
        </w:rPr>
        <w:t xml:space="preserve"> </w:t>
      </w:r>
      <w:r w:rsidR="00944312">
        <w:rPr>
          <w:rFonts w:ascii="Calibri" w:hAnsi="Calibri"/>
          <w:sz w:val="24"/>
          <w:szCs w:val="24"/>
        </w:rPr>
        <w:t>million in</w:t>
      </w:r>
      <w:r w:rsidRPr="00AD1902">
        <w:rPr>
          <w:sz w:val="24"/>
          <w:szCs w:val="24"/>
        </w:rPr>
        <w:t xml:space="preserve"> prime contracts subject to the M/WBE program</w:t>
      </w:r>
      <w:r w:rsidRPr="00AD1902">
        <w:rPr>
          <w:rFonts w:ascii="Calibri" w:hAnsi="Calibri"/>
          <w:sz w:val="24"/>
          <w:szCs w:val="24"/>
        </w:rPr>
        <w:t xml:space="preserve"> and </w:t>
      </w:r>
      <w:r w:rsidR="00C10B9C">
        <w:rPr>
          <w:rFonts w:ascii="Calibri" w:hAnsi="Calibri"/>
          <w:sz w:val="24"/>
          <w:szCs w:val="24"/>
        </w:rPr>
        <w:t>over</w:t>
      </w:r>
      <w:r w:rsidR="00170301">
        <w:rPr>
          <w:rFonts w:ascii="Calibri" w:hAnsi="Calibri"/>
          <w:sz w:val="24"/>
          <w:szCs w:val="24"/>
        </w:rPr>
        <w:t xml:space="preserve"> </w:t>
      </w:r>
      <w:r w:rsidR="00944312">
        <w:rPr>
          <w:rFonts w:ascii="Calibri" w:hAnsi="Calibri"/>
          <w:sz w:val="24"/>
          <w:szCs w:val="24"/>
        </w:rPr>
        <w:t>$</w:t>
      </w:r>
      <w:r w:rsidR="00BE6C43">
        <w:rPr>
          <w:rFonts w:ascii="Calibri" w:hAnsi="Calibri"/>
          <w:sz w:val="24"/>
          <w:szCs w:val="24"/>
        </w:rPr>
        <w:t>145</w:t>
      </w:r>
      <w:r w:rsidR="00AF6FC7">
        <w:rPr>
          <w:rFonts w:ascii="Calibri" w:hAnsi="Calibri"/>
          <w:sz w:val="24"/>
          <w:szCs w:val="24"/>
        </w:rPr>
        <w:t xml:space="preserve"> </w:t>
      </w:r>
      <w:r w:rsidR="00944312">
        <w:rPr>
          <w:rFonts w:ascii="Calibri" w:hAnsi="Calibri"/>
          <w:sz w:val="24"/>
          <w:szCs w:val="24"/>
        </w:rPr>
        <w:t>million in</w:t>
      </w:r>
      <w:r w:rsidRPr="00AD1902">
        <w:rPr>
          <w:sz w:val="24"/>
          <w:szCs w:val="24"/>
        </w:rPr>
        <w:t xml:space="preserve"> eligible subcontracts</w:t>
      </w:r>
      <w:r w:rsidR="009063A9">
        <w:rPr>
          <w:rFonts w:ascii="Calibri" w:hAnsi="Calibri"/>
          <w:sz w:val="24"/>
          <w:szCs w:val="24"/>
        </w:rPr>
        <w:t xml:space="preserve">.  The City achieved a </w:t>
      </w:r>
      <w:r w:rsidR="009063A9" w:rsidRPr="0012198C">
        <w:rPr>
          <w:rFonts w:ascii="Calibri" w:hAnsi="Calibri"/>
          <w:sz w:val="24"/>
          <w:szCs w:val="24"/>
        </w:rPr>
        <w:t xml:space="preserve">combined prime and subcontract utilization </w:t>
      </w:r>
      <w:r w:rsidR="009063A9" w:rsidRPr="004267BF">
        <w:rPr>
          <w:rFonts w:ascii="Calibri" w:hAnsi="Calibri"/>
          <w:sz w:val="24"/>
          <w:szCs w:val="24"/>
        </w:rPr>
        <w:t>of</w:t>
      </w:r>
      <w:r w:rsidR="004267BF" w:rsidRPr="004267BF">
        <w:rPr>
          <w:rFonts w:ascii="Calibri" w:hAnsi="Calibri"/>
          <w:sz w:val="24"/>
          <w:szCs w:val="24"/>
        </w:rPr>
        <w:t xml:space="preserve"> 19</w:t>
      </w:r>
      <w:r w:rsidR="0012198C" w:rsidRPr="004267BF">
        <w:rPr>
          <w:rFonts w:ascii="Calibri" w:hAnsi="Calibri"/>
          <w:sz w:val="24"/>
          <w:szCs w:val="24"/>
        </w:rPr>
        <w:t>%</w:t>
      </w:r>
      <w:r w:rsidR="009063A9" w:rsidRPr="004267BF">
        <w:rPr>
          <w:rFonts w:ascii="Calibri" w:hAnsi="Calibri"/>
          <w:sz w:val="24"/>
          <w:szCs w:val="24"/>
        </w:rPr>
        <w:t>.</w:t>
      </w:r>
      <w:r w:rsidR="009063A9">
        <w:rPr>
          <w:rFonts w:ascii="Calibri" w:hAnsi="Calibri"/>
          <w:sz w:val="24"/>
          <w:szCs w:val="24"/>
        </w:rPr>
        <w:t xml:space="preserve"> </w:t>
      </w:r>
    </w:p>
    <w:p w:rsidR="00CC1FDD" w:rsidRPr="0016636E" w:rsidRDefault="00CC1FDD" w:rsidP="00CC1FDD">
      <w:pPr>
        <w:spacing w:after="360" w:line="360" w:lineRule="auto"/>
        <w:jc w:val="both"/>
        <w:rPr>
          <w:rFonts w:ascii="Calibri" w:hAnsi="Calibri"/>
          <w:b/>
          <w:sz w:val="26"/>
          <w:szCs w:val="26"/>
        </w:rPr>
      </w:pPr>
      <w:r w:rsidRPr="00234D73">
        <w:rPr>
          <w:rFonts w:ascii="Calibri" w:hAnsi="Calibri"/>
          <w:b/>
          <w:sz w:val="26"/>
          <w:szCs w:val="26"/>
        </w:rPr>
        <w:t>Expanding the Base of Certified Firms</w:t>
      </w:r>
    </w:p>
    <w:p w:rsidR="00CC1FDD" w:rsidRPr="00FC6B75" w:rsidRDefault="00CC1FDD" w:rsidP="00CC1FDD">
      <w:pPr>
        <w:spacing w:after="360" w:line="360" w:lineRule="auto"/>
        <w:jc w:val="both"/>
        <w:rPr>
          <w:rFonts w:ascii="Calibri" w:eastAsia="Times New Roman" w:hAnsi="Calibri"/>
          <w:sz w:val="24"/>
          <w:szCs w:val="24"/>
        </w:rPr>
      </w:pPr>
      <w:r w:rsidRPr="004C2B35">
        <w:rPr>
          <w:sz w:val="24"/>
          <w:szCs w:val="24"/>
        </w:rPr>
        <w:t xml:space="preserve">SBS continues to increase the participation of M/WBE firms in City contracting by expanding its base of certified businesses.  </w:t>
      </w:r>
      <w:r w:rsidRPr="004C2B35">
        <w:rPr>
          <w:rFonts w:ascii="Calibri" w:eastAsia="Times New Roman" w:hAnsi="Calibri"/>
          <w:sz w:val="24"/>
          <w:szCs w:val="24"/>
        </w:rPr>
        <w:t xml:space="preserve">During the certification process, a company’s ownership and management structure is thoroughly reviewed to ensure the applicant performs the key functions of the business.  Minority and </w:t>
      </w:r>
      <w:r w:rsidRPr="004C2B35">
        <w:rPr>
          <w:rFonts w:ascii="Calibri" w:eastAsia="Times New Roman" w:hAnsi="Calibri"/>
          <w:sz w:val="24"/>
          <w:szCs w:val="24"/>
        </w:rPr>
        <w:lastRenderedPageBreak/>
        <w:t>women-owned firms who choose not to certify with the City are neither tracked nor measured in the</w:t>
      </w:r>
      <w:r>
        <w:rPr>
          <w:rFonts w:ascii="Calibri" w:eastAsia="Times New Roman" w:hAnsi="Calibri"/>
          <w:sz w:val="24"/>
          <w:szCs w:val="24"/>
        </w:rPr>
        <w:t xml:space="preserve"> City’s performance reporting. The </w:t>
      </w:r>
      <w:r w:rsidRPr="004A76D8">
        <w:rPr>
          <w:rFonts w:ascii="Calibri" w:hAnsi="Calibri" w:cs="Calibri"/>
          <w:sz w:val="24"/>
          <w:szCs w:val="24"/>
        </w:rPr>
        <w:t>NYC Online Certification Portal</w:t>
      </w:r>
      <w:r w:rsidRPr="007D3D5E">
        <w:rPr>
          <w:rFonts w:ascii="Calibri" w:eastAsia="Times New Roman" w:hAnsi="Calibri"/>
          <w:sz w:val="24"/>
          <w:szCs w:val="24"/>
        </w:rPr>
        <w:t xml:space="preserve"> </w:t>
      </w:r>
      <w:r>
        <w:rPr>
          <w:rFonts w:ascii="Calibri" w:eastAsia="Times New Roman" w:hAnsi="Calibri"/>
          <w:sz w:val="24"/>
          <w:szCs w:val="24"/>
        </w:rPr>
        <w:t>(</w:t>
      </w:r>
      <w:hyperlink r:id="rId9" w:history="1">
        <w:r w:rsidRPr="0015699A">
          <w:rPr>
            <w:rStyle w:val="Hyperlink"/>
            <w:rFonts w:ascii="Calibri" w:eastAsia="Times New Roman" w:hAnsi="Calibri"/>
            <w:sz w:val="24"/>
            <w:szCs w:val="24"/>
          </w:rPr>
          <w:t>www.nyc.gov/certifyonline</w:t>
        </w:r>
      </w:hyperlink>
      <w:r>
        <w:rPr>
          <w:rFonts w:ascii="Calibri" w:eastAsia="Times New Roman" w:hAnsi="Calibri"/>
          <w:sz w:val="24"/>
          <w:szCs w:val="24"/>
        </w:rPr>
        <w:t xml:space="preserve">) allows </w:t>
      </w:r>
      <w:r w:rsidRPr="007D3D5E">
        <w:rPr>
          <w:rFonts w:ascii="Calibri" w:eastAsia="Times New Roman" w:hAnsi="Calibri"/>
          <w:sz w:val="24"/>
          <w:szCs w:val="24"/>
        </w:rPr>
        <w:t>M/WBE firms to certify and recertify online, check the status of applications, and update their business profiles to better promote themselves to buyers.</w:t>
      </w:r>
      <w:r w:rsidRPr="0046421E">
        <w:rPr>
          <w:rFonts w:ascii="Calibri" w:eastAsia="Times New Roman" w:hAnsi="Calibri"/>
          <w:sz w:val="24"/>
          <w:szCs w:val="24"/>
        </w:rPr>
        <w:t xml:space="preserve"> I</w:t>
      </w:r>
      <w:r w:rsidRPr="00C67975">
        <w:rPr>
          <w:rFonts w:ascii="Calibri" w:eastAsia="Times New Roman" w:hAnsi="Calibri"/>
          <w:sz w:val="24"/>
          <w:szCs w:val="24"/>
        </w:rPr>
        <w:t xml:space="preserve">n addition to the regular certification workshops, </w:t>
      </w:r>
      <w:r>
        <w:rPr>
          <w:rFonts w:ascii="Calibri" w:eastAsia="Times New Roman" w:hAnsi="Calibri"/>
          <w:sz w:val="24"/>
          <w:szCs w:val="24"/>
        </w:rPr>
        <w:t>during the report</w:t>
      </w:r>
      <w:r w:rsidRPr="004C2B35">
        <w:rPr>
          <w:rFonts w:ascii="Calibri" w:eastAsia="Times New Roman" w:hAnsi="Calibri"/>
          <w:sz w:val="24"/>
          <w:szCs w:val="24"/>
        </w:rPr>
        <w:t xml:space="preserve">ing period, SBS continued to hold one-on-one certification application review sessions. These sessions helped ensure that firms submitted </w:t>
      </w:r>
      <w:r w:rsidRPr="00FC6B75">
        <w:rPr>
          <w:rFonts w:ascii="Calibri" w:eastAsia="Times New Roman" w:hAnsi="Calibri"/>
          <w:sz w:val="24"/>
          <w:szCs w:val="24"/>
        </w:rPr>
        <w:t>complete and quality application packages, reduced back and forth and delays, and increased the chances of obtaining certification. During the first nine months of FY 2017, SBS conducted 23 certification workshops and application review sessions for 215</w:t>
      </w:r>
      <w:r>
        <w:rPr>
          <w:rFonts w:ascii="Calibri" w:eastAsia="Times New Roman" w:hAnsi="Calibri"/>
          <w:sz w:val="24"/>
          <w:szCs w:val="24"/>
        </w:rPr>
        <w:t xml:space="preserve"> businesses. In the reporting period, SBS a</w:t>
      </w:r>
      <w:r w:rsidRPr="00907EF7">
        <w:rPr>
          <w:rFonts w:ascii="Calibri" w:eastAsia="Times New Roman" w:hAnsi="Calibri"/>
          <w:sz w:val="24"/>
          <w:szCs w:val="24"/>
        </w:rPr>
        <w:t>lso streamlined and simplified the M/WBE certification process.</w:t>
      </w:r>
    </w:p>
    <w:p w:rsidR="00CC1FDD" w:rsidRPr="00FC6B75" w:rsidRDefault="00CC1FDD" w:rsidP="00CC1FDD">
      <w:pPr>
        <w:spacing w:after="360" w:line="360" w:lineRule="auto"/>
        <w:jc w:val="both"/>
        <w:rPr>
          <w:rFonts w:ascii="Calibri" w:eastAsia="Times New Roman" w:hAnsi="Calibri"/>
          <w:sz w:val="24"/>
          <w:szCs w:val="24"/>
        </w:rPr>
      </w:pPr>
      <w:r w:rsidRPr="00FC6B75">
        <w:rPr>
          <w:rFonts w:ascii="Calibri" w:hAnsi="Calibri"/>
          <w:sz w:val="24"/>
          <w:szCs w:val="24"/>
        </w:rPr>
        <w:t>Various community partners help extend the reach of SBS certification outreach efforts. Businesses receive assistance in applying for certification from these organizations, including</w:t>
      </w:r>
      <w:r w:rsidRPr="00FC6B75">
        <w:rPr>
          <w:rFonts w:ascii="Calibri" w:eastAsia="Times New Roman" w:hAnsi="Calibri"/>
          <w:sz w:val="24"/>
          <w:szCs w:val="24"/>
        </w:rPr>
        <w:t xml:space="preserve"> the New York City Council-funded community-based groups that comprise the M/WBE Leadership Association, and the SBS network of Business Solutions Centers located throughout the five boroughs.  This helps to ensure a higher quality application, making the submission and the certification review process easier and simpler.  During the first three quarters of FY 2017, SBS certified 761 new M/WBEs and recertified 383 M/WBEs, bringing the total number of City-certified companies to 4,968 as of March 31, 2017.  Our </w:t>
      </w:r>
      <w:proofErr w:type="gramStart"/>
      <w:r w:rsidRPr="00FC6B75">
        <w:rPr>
          <w:rFonts w:ascii="Calibri" w:eastAsia="Times New Roman" w:hAnsi="Calibri"/>
          <w:sz w:val="24"/>
          <w:szCs w:val="24"/>
        </w:rPr>
        <w:t>community</w:t>
      </w:r>
      <w:proofErr w:type="gramEnd"/>
      <w:r w:rsidRPr="00FC6B75">
        <w:rPr>
          <w:rFonts w:ascii="Calibri" w:eastAsia="Times New Roman" w:hAnsi="Calibri"/>
          <w:sz w:val="24"/>
          <w:szCs w:val="24"/>
        </w:rPr>
        <w:t xml:space="preserve"> partners help support the business growth of M/WBEs with marketing workshops, networking events, </w:t>
      </w:r>
      <w:r w:rsidRPr="005406E0">
        <w:rPr>
          <w:rFonts w:ascii="Calibri" w:eastAsia="Times New Roman" w:hAnsi="Calibri"/>
          <w:sz w:val="24"/>
          <w:szCs w:val="24"/>
        </w:rPr>
        <w:t>and business development services.  During the reporting period, SBS collaborated with local development corporations, trade associations, industry membership organizations, and l</w:t>
      </w:r>
      <w:r w:rsidR="00AA20BD">
        <w:rPr>
          <w:rFonts w:ascii="Calibri" w:eastAsia="Times New Roman" w:hAnsi="Calibri"/>
          <w:sz w:val="24"/>
          <w:szCs w:val="24"/>
        </w:rPr>
        <w:t>ocal chambers of commerce on 141</w:t>
      </w:r>
      <w:r w:rsidRPr="005406E0">
        <w:rPr>
          <w:rFonts w:ascii="Calibri" w:eastAsia="Times New Roman" w:hAnsi="Calibri"/>
          <w:sz w:val="24"/>
          <w:szCs w:val="24"/>
        </w:rPr>
        <w:t xml:space="preserve"> events to spread the word about the benefits of certification and the range of capacity-building services available</w:t>
      </w:r>
      <w:r w:rsidRPr="00FC6B75">
        <w:rPr>
          <w:rFonts w:ascii="Calibri" w:eastAsia="Times New Roman" w:hAnsi="Calibri"/>
          <w:sz w:val="24"/>
          <w:szCs w:val="24"/>
        </w:rPr>
        <w:t xml:space="preserve"> citywide to help businesses grow.</w:t>
      </w:r>
    </w:p>
    <w:p w:rsidR="00CC1FDD" w:rsidRPr="00E57E68" w:rsidRDefault="00CC1FDD" w:rsidP="00CC1FDD">
      <w:pPr>
        <w:spacing w:after="360" w:line="360" w:lineRule="auto"/>
        <w:jc w:val="both"/>
        <w:rPr>
          <w:rFonts w:ascii="Calibri" w:hAnsi="Calibri"/>
          <w:b/>
          <w:sz w:val="26"/>
          <w:szCs w:val="26"/>
        </w:rPr>
      </w:pPr>
      <w:r w:rsidRPr="00E57E68">
        <w:rPr>
          <w:rFonts w:ascii="Calibri" w:hAnsi="Calibri"/>
          <w:b/>
          <w:sz w:val="26"/>
          <w:szCs w:val="26"/>
        </w:rPr>
        <w:t>Emerging Business Enterprise Program</w:t>
      </w:r>
    </w:p>
    <w:p w:rsidR="00CC1FDD" w:rsidRPr="00FC6B75" w:rsidRDefault="00CC1FDD" w:rsidP="00CC1FDD">
      <w:pPr>
        <w:spacing w:after="360" w:line="360" w:lineRule="auto"/>
        <w:jc w:val="both"/>
        <w:rPr>
          <w:rFonts w:ascii="Calibri" w:hAnsi="Calibri"/>
          <w:sz w:val="24"/>
          <w:szCs w:val="24"/>
        </w:rPr>
      </w:pPr>
      <w:r w:rsidRPr="00C762FB">
        <w:rPr>
          <w:rFonts w:ascii="Calibri" w:hAnsi="Calibri"/>
          <w:sz w:val="24"/>
          <w:szCs w:val="24"/>
        </w:rPr>
        <w:t>Local Law 12 of 2006 created the Emerging Business Enterprise (“EBE”) program directed at expanding procurement opportunities to disadvantaged business</w:t>
      </w:r>
      <w:r>
        <w:rPr>
          <w:rFonts w:ascii="Calibri" w:hAnsi="Calibri"/>
          <w:sz w:val="24"/>
          <w:szCs w:val="24"/>
        </w:rPr>
        <w:t xml:space="preserve">es.  </w:t>
      </w:r>
      <w:r w:rsidRPr="00C762FB">
        <w:rPr>
          <w:rFonts w:ascii="Calibri" w:hAnsi="Calibri"/>
          <w:sz w:val="24"/>
          <w:szCs w:val="24"/>
        </w:rPr>
        <w:t>Although similar o</w:t>
      </w:r>
      <w:r>
        <w:rPr>
          <w:rFonts w:ascii="Calibri" w:hAnsi="Calibri"/>
          <w:sz w:val="24"/>
          <w:szCs w:val="24"/>
        </w:rPr>
        <w:t>utreach approaches and capacity-</w:t>
      </w:r>
      <w:r w:rsidRPr="00C762FB">
        <w:rPr>
          <w:rFonts w:ascii="Calibri" w:hAnsi="Calibri"/>
          <w:sz w:val="24"/>
          <w:szCs w:val="24"/>
        </w:rPr>
        <w:t xml:space="preserve">building initiatives were and continue to be undertaken by SBS to successfully implement the M/WBE and EBE programs (SBS often targets potential M/WBE and EBE groups simultaneously), the outcomes of such measures are quite different.  Similar to the federal DBE program, eligibility for EBE certification under the City’s program requires that applicants satisfy a two prong test of economic </w:t>
      </w:r>
      <w:r w:rsidRPr="00C762FB">
        <w:rPr>
          <w:rFonts w:ascii="Calibri" w:hAnsi="Calibri"/>
          <w:sz w:val="24"/>
          <w:szCs w:val="24"/>
        </w:rPr>
        <w:lastRenderedPageBreak/>
        <w:t xml:space="preserve">disadvantage and social disadvantage.  Where social disadvantage is presumed for M/WBEs and further evaluation of </w:t>
      </w:r>
      <w:r w:rsidRPr="00FC6B75">
        <w:rPr>
          <w:rFonts w:ascii="Calibri" w:hAnsi="Calibri"/>
          <w:sz w:val="24"/>
          <w:szCs w:val="24"/>
        </w:rPr>
        <w:t>social or economic disadvantage criteria is not required for those individuals, the City’s EBE program criteria relies on individual and specific determinations of an applicant’s disadvantage.  As of</w:t>
      </w:r>
      <w:r w:rsidRPr="00FC6B75">
        <w:rPr>
          <w:rFonts w:ascii="Calibri" w:eastAsia="Times New Roman" w:hAnsi="Calibri"/>
          <w:sz w:val="24"/>
          <w:szCs w:val="24"/>
        </w:rPr>
        <w:t xml:space="preserve"> March 31, 2017</w:t>
      </w:r>
      <w:r w:rsidRPr="00FC6B75">
        <w:rPr>
          <w:rFonts w:ascii="Calibri" w:hAnsi="Calibri"/>
          <w:sz w:val="24"/>
          <w:szCs w:val="24"/>
        </w:rPr>
        <w:t xml:space="preserve">, there are 7 certified EBE companies. </w:t>
      </w:r>
    </w:p>
    <w:p w:rsidR="00CC1FDD" w:rsidRPr="00FC6B75" w:rsidRDefault="00CC1FDD" w:rsidP="00CC1FDD">
      <w:pPr>
        <w:spacing w:after="360" w:line="360" w:lineRule="auto"/>
        <w:jc w:val="both"/>
        <w:rPr>
          <w:rFonts w:ascii="Calibri" w:hAnsi="Calibri"/>
          <w:sz w:val="24"/>
          <w:szCs w:val="24"/>
        </w:rPr>
      </w:pPr>
      <w:r w:rsidRPr="00FC6B75">
        <w:rPr>
          <w:rFonts w:ascii="Calibri" w:hAnsi="Calibri"/>
          <w:sz w:val="24"/>
          <w:szCs w:val="24"/>
        </w:rPr>
        <w:t xml:space="preserve">Unlike the M/WBE program, limited participation in the EBE program has made it difficult for City agencies to set goals on contracts.  During the reporting period, EBEs </w:t>
      </w:r>
      <w:r>
        <w:rPr>
          <w:rFonts w:ascii="Calibri" w:hAnsi="Calibri"/>
          <w:sz w:val="24"/>
          <w:szCs w:val="24"/>
        </w:rPr>
        <w:t xml:space="preserve">were </w:t>
      </w:r>
      <w:r w:rsidRPr="00FC6B75">
        <w:rPr>
          <w:rFonts w:ascii="Calibri" w:hAnsi="Calibri"/>
          <w:sz w:val="24"/>
          <w:szCs w:val="24"/>
        </w:rPr>
        <w:t>awarded a total of $1,200 in all types of primes and subcontracts.</w:t>
      </w:r>
    </w:p>
    <w:p w:rsidR="00CC1FDD" w:rsidRPr="00FC6B75" w:rsidRDefault="00CC1FDD" w:rsidP="00CC1FDD">
      <w:pPr>
        <w:spacing w:after="360" w:line="360" w:lineRule="auto"/>
        <w:jc w:val="both"/>
        <w:rPr>
          <w:rFonts w:ascii="Calibri" w:hAnsi="Calibri"/>
          <w:sz w:val="24"/>
          <w:szCs w:val="24"/>
        </w:rPr>
      </w:pPr>
      <w:r w:rsidRPr="00FC6B75">
        <w:rPr>
          <w:rFonts w:ascii="Calibri" w:hAnsi="Calibri"/>
          <w:sz w:val="24"/>
          <w:szCs w:val="24"/>
        </w:rPr>
        <w:t xml:space="preserve">SBS continues to strive towards increasing participation in the EBE program through a wide range of outreach efforts regularly conducted with businesses and community partners.  Once increased participation in the EBE program is achieved, City agencies will have sufficient availability of certified EBE firms needed to set feasible contract goals. </w:t>
      </w:r>
    </w:p>
    <w:p w:rsidR="00CC1FDD" w:rsidRPr="00FC6B75" w:rsidRDefault="00CC1FDD" w:rsidP="00CC1FDD">
      <w:pPr>
        <w:spacing w:before="360" w:after="360" w:line="360" w:lineRule="auto"/>
        <w:jc w:val="both"/>
        <w:rPr>
          <w:rFonts w:ascii="Calibri" w:hAnsi="Calibri"/>
          <w:b/>
          <w:sz w:val="26"/>
          <w:szCs w:val="26"/>
        </w:rPr>
      </w:pPr>
      <w:r w:rsidRPr="00FC6B75">
        <w:rPr>
          <w:rFonts w:ascii="Calibri" w:hAnsi="Calibri"/>
          <w:b/>
          <w:sz w:val="26"/>
          <w:szCs w:val="26"/>
        </w:rPr>
        <w:t>Locally-based Enterprise Program</w:t>
      </w:r>
    </w:p>
    <w:p w:rsidR="00CC1FDD" w:rsidRDefault="00CC1FDD" w:rsidP="00CC1FDD">
      <w:pPr>
        <w:spacing w:after="360" w:line="360" w:lineRule="auto"/>
        <w:jc w:val="both"/>
        <w:rPr>
          <w:sz w:val="24"/>
          <w:szCs w:val="24"/>
        </w:rPr>
      </w:pPr>
      <w:r>
        <w:rPr>
          <w:sz w:val="24"/>
          <w:szCs w:val="24"/>
        </w:rPr>
        <w:t xml:space="preserve">Although the </w:t>
      </w:r>
      <w:r w:rsidRPr="006D2A7E">
        <w:rPr>
          <w:sz w:val="24"/>
          <w:szCs w:val="24"/>
        </w:rPr>
        <w:t>Locally Based Enterprises (LBE)</w:t>
      </w:r>
      <w:r>
        <w:rPr>
          <w:sz w:val="24"/>
          <w:szCs w:val="24"/>
        </w:rPr>
        <w:t xml:space="preserve"> program is not referenced in </w:t>
      </w:r>
      <w:r w:rsidRPr="00C5546F">
        <w:rPr>
          <w:rFonts w:ascii="Calibri" w:hAnsi="Calibri"/>
          <w:sz w:val="24"/>
          <w:szCs w:val="24"/>
        </w:rPr>
        <w:t>Administrative Code §6-129</w:t>
      </w:r>
      <w:r>
        <w:rPr>
          <w:rFonts w:ascii="Calibri" w:hAnsi="Calibri"/>
          <w:sz w:val="24"/>
          <w:szCs w:val="24"/>
        </w:rPr>
        <w:t>,</w:t>
      </w:r>
      <w:r>
        <w:rPr>
          <w:sz w:val="24"/>
          <w:szCs w:val="24"/>
        </w:rPr>
        <w:t xml:space="preserve"> LBE is a certification category administered by SBS, and the applicability of the LBE program in City procurement is impacted by the M/WBE program.  As set forth in Administrative Code </w:t>
      </w:r>
      <w:r w:rsidRPr="0032628A">
        <w:rPr>
          <w:sz w:val="24"/>
          <w:szCs w:val="24"/>
        </w:rPr>
        <w:t>§</w:t>
      </w:r>
      <w:r>
        <w:rPr>
          <w:sz w:val="24"/>
          <w:szCs w:val="24"/>
        </w:rPr>
        <w:t>6-108.1,</w:t>
      </w:r>
      <w:r w:rsidRPr="006D2A7E">
        <w:rPr>
          <w:sz w:val="24"/>
          <w:szCs w:val="24"/>
        </w:rPr>
        <w:t xml:space="preserve"> the LBE program </w:t>
      </w:r>
      <w:r>
        <w:rPr>
          <w:sz w:val="24"/>
          <w:szCs w:val="24"/>
        </w:rPr>
        <w:t>i</w:t>
      </w:r>
      <w:r w:rsidRPr="006D2A7E">
        <w:rPr>
          <w:sz w:val="24"/>
          <w:szCs w:val="24"/>
        </w:rPr>
        <w:t xml:space="preserve">s designed to promote the growth of small construction firms through greater access to contracting opportunities with the City. </w:t>
      </w:r>
      <w:r>
        <w:rPr>
          <w:sz w:val="24"/>
          <w:szCs w:val="24"/>
        </w:rPr>
        <w:t xml:space="preserve"> </w:t>
      </w:r>
      <w:r w:rsidRPr="006D2A7E">
        <w:rPr>
          <w:sz w:val="24"/>
          <w:szCs w:val="24"/>
        </w:rPr>
        <w:t xml:space="preserve">Generally, the program requires agencies to utilize LBEs as </w:t>
      </w:r>
      <w:r>
        <w:rPr>
          <w:sz w:val="24"/>
          <w:szCs w:val="24"/>
        </w:rPr>
        <w:t xml:space="preserve">a </w:t>
      </w:r>
      <w:r w:rsidRPr="006D2A7E">
        <w:rPr>
          <w:sz w:val="24"/>
          <w:szCs w:val="24"/>
        </w:rPr>
        <w:t xml:space="preserve">prime or subcontractor on specific construction contracts. However, the number of contracts subject to the LBE program has substantially decreased in recent years due to </w:t>
      </w:r>
      <w:r>
        <w:rPr>
          <w:sz w:val="24"/>
          <w:szCs w:val="24"/>
        </w:rPr>
        <w:t>other goal-</w:t>
      </w:r>
      <w:r w:rsidRPr="006D2A7E">
        <w:rPr>
          <w:sz w:val="24"/>
          <w:szCs w:val="24"/>
        </w:rPr>
        <w:t xml:space="preserve">setting programs </w:t>
      </w:r>
      <w:r>
        <w:rPr>
          <w:sz w:val="24"/>
          <w:szCs w:val="24"/>
        </w:rPr>
        <w:t>established by the City, State and f</w:t>
      </w:r>
      <w:r w:rsidRPr="006D2A7E">
        <w:rPr>
          <w:sz w:val="24"/>
          <w:szCs w:val="24"/>
        </w:rPr>
        <w:t>ederal government</w:t>
      </w:r>
      <w:r>
        <w:rPr>
          <w:sz w:val="24"/>
          <w:szCs w:val="24"/>
        </w:rPr>
        <w:t>s</w:t>
      </w:r>
      <w:r w:rsidRPr="006D2A7E">
        <w:rPr>
          <w:sz w:val="24"/>
          <w:szCs w:val="24"/>
        </w:rPr>
        <w:t xml:space="preserve">. </w:t>
      </w:r>
      <w:r>
        <w:rPr>
          <w:sz w:val="24"/>
          <w:szCs w:val="24"/>
        </w:rPr>
        <w:t xml:space="preserve"> </w:t>
      </w:r>
      <w:r w:rsidRPr="006D2A7E">
        <w:rPr>
          <w:sz w:val="24"/>
          <w:szCs w:val="24"/>
        </w:rPr>
        <w:t xml:space="preserve">Under the LBE program rules, contracts are excluded from the program if they are federally or State funded and </w:t>
      </w:r>
      <w:r>
        <w:rPr>
          <w:sz w:val="24"/>
          <w:szCs w:val="24"/>
        </w:rPr>
        <w:t xml:space="preserve">subject to their requisite </w:t>
      </w:r>
      <w:r w:rsidRPr="006D2A7E">
        <w:rPr>
          <w:sz w:val="24"/>
          <w:szCs w:val="24"/>
        </w:rPr>
        <w:t>goal programs. Federal</w:t>
      </w:r>
      <w:r>
        <w:rPr>
          <w:sz w:val="24"/>
          <w:szCs w:val="24"/>
        </w:rPr>
        <w:t>ly funded</w:t>
      </w:r>
      <w:r w:rsidRPr="006D2A7E">
        <w:rPr>
          <w:sz w:val="24"/>
          <w:szCs w:val="24"/>
        </w:rPr>
        <w:t xml:space="preserve"> construction </w:t>
      </w:r>
      <w:r>
        <w:rPr>
          <w:sz w:val="24"/>
          <w:szCs w:val="24"/>
        </w:rPr>
        <w:t xml:space="preserve">projects are </w:t>
      </w:r>
      <w:r w:rsidRPr="006D2A7E">
        <w:rPr>
          <w:sz w:val="24"/>
          <w:szCs w:val="24"/>
        </w:rPr>
        <w:t>generally subject to the Disadvantaged Business Enterprise program</w:t>
      </w:r>
      <w:r>
        <w:rPr>
          <w:sz w:val="24"/>
          <w:szCs w:val="24"/>
        </w:rPr>
        <w:t>,</w:t>
      </w:r>
      <w:r w:rsidRPr="006D2A7E">
        <w:rPr>
          <w:sz w:val="24"/>
          <w:szCs w:val="24"/>
        </w:rPr>
        <w:t xml:space="preserve"> and State </w:t>
      </w:r>
      <w:r>
        <w:rPr>
          <w:sz w:val="24"/>
          <w:szCs w:val="24"/>
        </w:rPr>
        <w:t xml:space="preserve">funded </w:t>
      </w:r>
      <w:r w:rsidRPr="006D2A7E">
        <w:rPr>
          <w:sz w:val="24"/>
          <w:szCs w:val="24"/>
        </w:rPr>
        <w:t xml:space="preserve">contracts are subject to </w:t>
      </w:r>
      <w:r>
        <w:rPr>
          <w:sz w:val="24"/>
          <w:szCs w:val="24"/>
        </w:rPr>
        <w:t>other goals</w:t>
      </w:r>
      <w:r w:rsidRPr="006D2A7E">
        <w:rPr>
          <w:sz w:val="24"/>
          <w:szCs w:val="24"/>
        </w:rPr>
        <w:t xml:space="preserve"> requirements</w:t>
      </w:r>
      <w:r>
        <w:rPr>
          <w:sz w:val="24"/>
          <w:szCs w:val="24"/>
        </w:rPr>
        <w:t xml:space="preserve"> as well</w:t>
      </w:r>
      <w:r w:rsidRPr="006D2A7E">
        <w:rPr>
          <w:sz w:val="24"/>
          <w:szCs w:val="24"/>
        </w:rPr>
        <w:t xml:space="preserve">, including Article 15-A of the New York State Executive Law. </w:t>
      </w:r>
      <w:r>
        <w:rPr>
          <w:sz w:val="24"/>
          <w:szCs w:val="24"/>
        </w:rPr>
        <w:t xml:space="preserve"> </w:t>
      </w:r>
      <w:r w:rsidRPr="006D2A7E">
        <w:rPr>
          <w:sz w:val="24"/>
          <w:szCs w:val="24"/>
        </w:rPr>
        <w:t>As many City construction contracts are federally and State funded and subject to subcontracting goals under those programs, they are not covered by</w:t>
      </w:r>
      <w:r>
        <w:rPr>
          <w:sz w:val="24"/>
          <w:szCs w:val="24"/>
        </w:rPr>
        <w:t xml:space="preserve"> the</w:t>
      </w:r>
      <w:r w:rsidRPr="006D2A7E">
        <w:rPr>
          <w:sz w:val="24"/>
          <w:szCs w:val="24"/>
        </w:rPr>
        <w:t xml:space="preserve"> LBE</w:t>
      </w:r>
      <w:r>
        <w:rPr>
          <w:sz w:val="24"/>
          <w:szCs w:val="24"/>
        </w:rPr>
        <w:t xml:space="preserve"> program</w:t>
      </w:r>
      <w:r w:rsidRPr="006D2A7E">
        <w:rPr>
          <w:sz w:val="24"/>
          <w:szCs w:val="24"/>
        </w:rPr>
        <w:t xml:space="preserve">. </w:t>
      </w:r>
      <w:r>
        <w:rPr>
          <w:sz w:val="24"/>
          <w:szCs w:val="24"/>
        </w:rPr>
        <w:t xml:space="preserve"> </w:t>
      </w:r>
      <w:r w:rsidRPr="006D2A7E">
        <w:rPr>
          <w:sz w:val="24"/>
          <w:szCs w:val="24"/>
        </w:rPr>
        <w:t xml:space="preserve">With the </w:t>
      </w:r>
      <w:r>
        <w:rPr>
          <w:sz w:val="24"/>
          <w:szCs w:val="24"/>
        </w:rPr>
        <w:t xml:space="preserve">creation of the City’s M/WBE program, </w:t>
      </w:r>
      <w:r w:rsidRPr="006D2A7E">
        <w:rPr>
          <w:sz w:val="24"/>
          <w:szCs w:val="24"/>
        </w:rPr>
        <w:t>M/WBE subcontracting goals are applied to City funded construction contracts</w:t>
      </w:r>
      <w:r>
        <w:rPr>
          <w:sz w:val="24"/>
          <w:szCs w:val="24"/>
        </w:rPr>
        <w:t xml:space="preserve"> in lieu of LBE goals</w:t>
      </w:r>
      <w:r w:rsidRPr="006D2A7E">
        <w:rPr>
          <w:sz w:val="24"/>
          <w:szCs w:val="24"/>
        </w:rPr>
        <w:t xml:space="preserve">. </w:t>
      </w:r>
      <w:r>
        <w:rPr>
          <w:sz w:val="24"/>
          <w:szCs w:val="24"/>
        </w:rPr>
        <w:t xml:space="preserve"> </w:t>
      </w:r>
      <w:r w:rsidRPr="006D2A7E">
        <w:rPr>
          <w:sz w:val="24"/>
          <w:szCs w:val="24"/>
        </w:rPr>
        <w:t xml:space="preserve">Accordingly, this further limits the applicability of the LBE requirements. </w:t>
      </w:r>
      <w:r>
        <w:rPr>
          <w:sz w:val="24"/>
          <w:szCs w:val="24"/>
        </w:rPr>
        <w:t xml:space="preserve"> </w:t>
      </w:r>
    </w:p>
    <w:p w:rsidR="00CC1FDD" w:rsidRPr="00FC6B75" w:rsidRDefault="00CC1FDD" w:rsidP="00CC1FDD">
      <w:pPr>
        <w:pStyle w:val="Default"/>
        <w:spacing w:after="360" w:line="360" w:lineRule="auto"/>
        <w:jc w:val="both"/>
        <w:rPr>
          <w:color w:val="auto"/>
        </w:rPr>
      </w:pPr>
      <w:r w:rsidRPr="00FC6B75">
        <w:rPr>
          <w:color w:val="auto"/>
        </w:rPr>
        <w:lastRenderedPageBreak/>
        <w:t>During the reporting period, SBS certified and recertified 15 firms as LBEs, bringing the total number of LBE certified firms to 35 as of</w:t>
      </w:r>
      <w:r w:rsidRPr="00FC6B75">
        <w:rPr>
          <w:rFonts w:eastAsia="Times New Roman"/>
          <w:color w:val="auto"/>
        </w:rPr>
        <w:t xml:space="preserve"> March 31, 2017</w:t>
      </w:r>
      <w:r w:rsidRPr="00FC6B75">
        <w:rPr>
          <w:color w:val="auto"/>
        </w:rPr>
        <w:t>.  Many of our LBEs are also certified as M/WBEs and can be considered for subcontracting opportunities on City construction projects with M/WBE goals.  During the reporting period, LBEs were awarded $2,015,179 in all types of prime and subcontract awards.</w:t>
      </w:r>
    </w:p>
    <w:p w:rsidR="00CC1FDD" w:rsidRPr="00FC6B75" w:rsidRDefault="00CC1FDD" w:rsidP="00CC1FDD">
      <w:pPr>
        <w:pStyle w:val="Default"/>
        <w:spacing w:after="360" w:line="360" w:lineRule="auto"/>
        <w:rPr>
          <w:b/>
          <w:bCs/>
          <w:color w:val="auto"/>
          <w:sz w:val="26"/>
          <w:szCs w:val="26"/>
        </w:rPr>
      </w:pPr>
      <w:r w:rsidRPr="00FC6B75">
        <w:rPr>
          <w:b/>
          <w:bCs/>
          <w:color w:val="auto"/>
          <w:sz w:val="26"/>
          <w:szCs w:val="26"/>
        </w:rPr>
        <w:t xml:space="preserve">Selling to Government </w:t>
      </w:r>
    </w:p>
    <w:p w:rsidR="00CC1FDD" w:rsidRPr="005406E0" w:rsidRDefault="00CC1FDD" w:rsidP="00CC1FDD">
      <w:pPr>
        <w:autoSpaceDE w:val="0"/>
        <w:autoSpaceDN w:val="0"/>
        <w:spacing w:after="360" w:line="360" w:lineRule="auto"/>
        <w:jc w:val="both"/>
        <w:rPr>
          <w:rFonts w:ascii="Calibri" w:eastAsia="Calibri" w:hAnsi="Calibri" w:cs="Times New Roman"/>
          <w:sz w:val="24"/>
          <w:szCs w:val="24"/>
        </w:rPr>
      </w:pPr>
      <w:r w:rsidRPr="00FC6B75">
        <w:rPr>
          <w:rFonts w:ascii="Calibri" w:eastAsia="Calibri" w:hAnsi="Calibri" w:cs="Times New Roman"/>
          <w:sz w:val="24"/>
          <w:szCs w:val="24"/>
        </w:rPr>
        <w:t xml:space="preserve">SBS offers selling to government services that help M/WBEs navigate the City’s procurement system.  Services are provided through a combination of workshops and one-on-one assistance.  To be an effective bidder on City contracts, M/WBEs must understand the City’s </w:t>
      </w:r>
      <w:r w:rsidRPr="00FB0AC7">
        <w:rPr>
          <w:rFonts w:ascii="Calibri" w:eastAsia="Calibri" w:hAnsi="Calibri" w:cs="Times New Roman"/>
          <w:sz w:val="24"/>
          <w:szCs w:val="24"/>
        </w:rPr>
        <w:t xml:space="preserve">procurement rules, the types of contracts, contract sizes, and how to interpret and respond to solicitations.  M/WBEs must also maintain the most up-to-date information on their profile in </w:t>
      </w:r>
      <w:r>
        <w:rPr>
          <w:rFonts w:ascii="Calibri" w:eastAsia="Calibri" w:hAnsi="Calibri" w:cs="Times New Roman"/>
          <w:sz w:val="24"/>
          <w:szCs w:val="24"/>
        </w:rPr>
        <w:t xml:space="preserve">the </w:t>
      </w:r>
      <w:r w:rsidRPr="00FB0AC7">
        <w:rPr>
          <w:rFonts w:ascii="Calibri" w:eastAsia="Calibri" w:hAnsi="Calibri" w:cs="Times New Roman"/>
          <w:sz w:val="24"/>
          <w:szCs w:val="24"/>
        </w:rPr>
        <w:t xml:space="preserve">SBS Online Directory of Certified Businesses </w:t>
      </w:r>
      <w:r w:rsidRPr="004C2B35">
        <w:rPr>
          <w:rFonts w:ascii="Calibri" w:eastAsia="Calibri" w:hAnsi="Calibri" w:cs="Times New Roman"/>
          <w:sz w:val="24"/>
          <w:szCs w:val="24"/>
        </w:rPr>
        <w:t>(</w:t>
      </w:r>
      <w:r w:rsidRPr="004C2B35">
        <w:rPr>
          <w:rStyle w:val="Hyperlink"/>
          <w:rFonts w:eastAsia="Times New Roman"/>
          <w:sz w:val="24"/>
          <w:szCs w:val="24"/>
        </w:rPr>
        <w:t>www.nyc.gov/buycertified</w:t>
      </w:r>
      <w:r w:rsidRPr="004C2B35">
        <w:rPr>
          <w:rFonts w:ascii="Calibri" w:eastAsia="Calibri" w:hAnsi="Calibri" w:cs="Times New Roman"/>
          <w:sz w:val="24"/>
          <w:szCs w:val="24"/>
        </w:rPr>
        <w:t xml:space="preserve">) </w:t>
      </w:r>
      <w:r w:rsidRPr="00FB0AC7">
        <w:rPr>
          <w:rFonts w:ascii="Calibri" w:eastAsia="Calibri" w:hAnsi="Calibri" w:cs="Times New Roman"/>
          <w:sz w:val="24"/>
          <w:szCs w:val="24"/>
        </w:rPr>
        <w:t xml:space="preserve">and </w:t>
      </w:r>
      <w:r w:rsidRPr="004C2B35">
        <w:rPr>
          <w:rFonts w:ascii="Calibri" w:eastAsia="Calibri" w:hAnsi="Calibri" w:cs="Times New Roman"/>
          <w:sz w:val="24"/>
          <w:szCs w:val="24"/>
        </w:rPr>
        <w:t xml:space="preserve">other </w:t>
      </w:r>
      <w:r w:rsidRPr="00FC6B75">
        <w:rPr>
          <w:rFonts w:ascii="Calibri" w:eastAsia="Calibri" w:hAnsi="Calibri" w:cs="Times New Roman"/>
          <w:sz w:val="24"/>
          <w:szCs w:val="24"/>
        </w:rPr>
        <w:t xml:space="preserve">City procurement systems. In the first three quarters of FY 2017, SBS worked </w:t>
      </w:r>
      <w:r w:rsidRPr="005406E0">
        <w:rPr>
          <w:rFonts w:ascii="Calibri" w:eastAsia="Calibri" w:hAnsi="Calibri" w:cs="Times New Roman"/>
          <w:sz w:val="24"/>
          <w:szCs w:val="24"/>
        </w:rPr>
        <w:t>with 856 companies to help them understand the City’s procurement rules, introduce them to NYC government contracting, explain the benefits of certification, and update their contact information and business profiles.</w:t>
      </w:r>
    </w:p>
    <w:p w:rsidR="00CC1FDD" w:rsidRPr="005406E0" w:rsidRDefault="00CC1FDD" w:rsidP="00CC1FDD">
      <w:pPr>
        <w:autoSpaceDE w:val="0"/>
        <w:autoSpaceDN w:val="0"/>
        <w:spacing w:after="360" w:line="360" w:lineRule="auto"/>
        <w:jc w:val="both"/>
        <w:rPr>
          <w:rFonts w:ascii="Calibri" w:eastAsia="Calibri" w:hAnsi="Calibri" w:cs="Times New Roman"/>
          <w:sz w:val="24"/>
          <w:szCs w:val="24"/>
        </w:rPr>
      </w:pPr>
      <w:r w:rsidRPr="005406E0">
        <w:rPr>
          <w:rFonts w:ascii="Calibri" w:eastAsia="Calibri" w:hAnsi="Calibri" w:cs="Times New Roman"/>
          <w:sz w:val="24"/>
          <w:szCs w:val="24"/>
        </w:rPr>
        <w:t>Also during the reporting period, 274 companies attended SBS’ regularly scheduled workshop “Selling to Government”, a monthly workshop open to the public that provides firms with the foundational basics of government contracting.</w:t>
      </w:r>
    </w:p>
    <w:p w:rsidR="00CC1FDD" w:rsidRPr="00FC6B75" w:rsidRDefault="00CC1FDD" w:rsidP="00CC1FDD">
      <w:pPr>
        <w:autoSpaceDE w:val="0"/>
        <w:autoSpaceDN w:val="0"/>
        <w:adjustRightInd w:val="0"/>
        <w:spacing w:after="360" w:line="360" w:lineRule="auto"/>
        <w:jc w:val="both"/>
        <w:rPr>
          <w:rFonts w:ascii="Calibri" w:eastAsia="Calibri" w:hAnsi="Calibri" w:cs="Times New Roman"/>
          <w:sz w:val="24"/>
          <w:szCs w:val="24"/>
        </w:rPr>
      </w:pPr>
      <w:r w:rsidRPr="005406E0">
        <w:rPr>
          <w:rFonts w:ascii="Calibri" w:eastAsia="Calibri" w:hAnsi="Calibri" w:cs="Times New Roman"/>
          <w:sz w:val="24"/>
          <w:szCs w:val="24"/>
        </w:rPr>
        <w:t>Through SBS’ Technical Assistance Program, firms receive one-on-one assistance on submitting the most competitive bids and proposals for City contracting opportunities.  In the reporting period, SBS held 399 one-on-one sessions. Additionally, in the first three quarters of FY 2017, 239 companies attended SBS’ Technical Assistance workshops that provided targeted training to different industries on government</w:t>
      </w:r>
      <w:r w:rsidRPr="00FC6B75">
        <w:rPr>
          <w:rFonts w:ascii="Calibri" w:eastAsia="Calibri" w:hAnsi="Calibri" w:cs="Times New Roman"/>
          <w:sz w:val="24"/>
          <w:szCs w:val="24"/>
        </w:rPr>
        <w:t xml:space="preserve"> contracting techniques.</w:t>
      </w:r>
    </w:p>
    <w:p w:rsidR="00CC1FDD" w:rsidRPr="00FC6B75" w:rsidRDefault="00CC1FDD" w:rsidP="00CC1FDD">
      <w:pPr>
        <w:autoSpaceDE w:val="0"/>
        <w:autoSpaceDN w:val="0"/>
        <w:adjustRightInd w:val="0"/>
        <w:spacing w:after="360" w:line="360" w:lineRule="auto"/>
        <w:jc w:val="both"/>
        <w:rPr>
          <w:sz w:val="24"/>
          <w:szCs w:val="24"/>
        </w:rPr>
      </w:pPr>
      <w:r w:rsidRPr="00FC6B75">
        <w:rPr>
          <w:sz w:val="24"/>
          <w:szCs w:val="24"/>
        </w:rPr>
        <w:t>SBS also works with the New York City Council through the M/WBE Leadership Association to provide certified firms with more capacity-building services, including help applying for loans and surety bonds, preparing bids and proposals, and marketing to both the public and private sector.  During the reporting period, member organizations sponsored 101 events, provided 874 one-on-one assistance sessions, assisted with 84 loan applications, and awarded 33 loans to M/WBEs.</w:t>
      </w:r>
    </w:p>
    <w:p w:rsidR="00CC1FDD" w:rsidRPr="00744232" w:rsidRDefault="00CC1FDD" w:rsidP="00CC1FDD">
      <w:pPr>
        <w:spacing w:after="360" w:line="360" w:lineRule="auto"/>
        <w:jc w:val="both"/>
        <w:rPr>
          <w:rFonts w:ascii="Calibri" w:hAnsi="Calibri"/>
          <w:b/>
          <w:sz w:val="26"/>
          <w:szCs w:val="26"/>
        </w:rPr>
      </w:pPr>
      <w:r w:rsidRPr="00744232">
        <w:rPr>
          <w:rFonts w:ascii="Calibri" w:hAnsi="Calibri"/>
          <w:b/>
          <w:sz w:val="26"/>
          <w:szCs w:val="26"/>
        </w:rPr>
        <w:lastRenderedPageBreak/>
        <w:t>Capacity Building</w:t>
      </w:r>
    </w:p>
    <w:p w:rsidR="00CC1FDD" w:rsidRPr="001815C8" w:rsidRDefault="00CC1FDD" w:rsidP="00CC1FDD">
      <w:pPr>
        <w:spacing w:after="360" w:line="360" w:lineRule="auto"/>
        <w:jc w:val="both"/>
        <w:rPr>
          <w:sz w:val="24"/>
          <w:szCs w:val="24"/>
        </w:rPr>
      </w:pPr>
      <w:r w:rsidRPr="001815C8">
        <w:rPr>
          <w:sz w:val="24"/>
          <w:szCs w:val="24"/>
        </w:rPr>
        <w:t>SBS administers a set of capacity-building programs and services for M/WBEs and small businesses that are designed to help firms better bid on, win, and perform on City contracts.</w:t>
      </w:r>
    </w:p>
    <w:p w:rsidR="00CC1FDD" w:rsidRPr="00FC6B75" w:rsidRDefault="00CC1FDD" w:rsidP="00CC1FDD">
      <w:pPr>
        <w:spacing w:after="360" w:line="360" w:lineRule="auto"/>
        <w:jc w:val="both"/>
        <w:rPr>
          <w:sz w:val="24"/>
          <w:szCs w:val="24"/>
        </w:rPr>
      </w:pPr>
      <w:r w:rsidRPr="001815C8">
        <w:rPr>
          <w:b/>
          <w:bCs/>
          <w:sz w:val="24"/>
          <w:szCs w:val="24"/>
        </w:rPr>
        <w:t>Bond Readiness</w:t>
      </w:r>
      <w:r w:rsidRPr="001815C8">
        <w:rPr>
          <w:i/>
          <w:iCs/>
          <w:sz w:val="24"/>
          <w:szCs w:val="24"/>
        </w:rPr>
        <w:t xml:space="preserve"> </w:t>
      </w:r>
      <w:r w:rsidRPr="001815C8">
        <w:rPr>
          <w:sz w:val="24"/>
          <w:szCs w:val="24"/>
        </w:rPr>
        <w:t>provides M/WBE certified construction</w:t>
      </w:r>
      <w:r w:rsidRPr="001815C8">
        <w:rPr>
          <w:i/>
          <w:iCs/>
          <w:sz w:val="24"/>
          <w:szCs w:val="24"/>
        </w:rPr>
        <w:t xml:space="preserve"> </w:t>
      </w:r>
      <w:r w:rsidRPr="001815C8">
        <w:rPr>
          <w:sz w:val="24"/>
          <w:szCs w:val="24"/>
        </w:rPr>
        <w:t>and trade</w:t>
      </w:r>
      <w:r w:rsidRPr="001815C8">
        <w:rPr>
          <w:i/>
          <w:iCs/>
          <w:sz w:val="24"/>
          <w:szCs w:val="24"/>
        </w:rPr>
        <w:t xml:space="preserve"> </w:t>
      </w:r>
      <w:r w:rsidRPr="001815C8">
        <w:rPr>
          <w:sz w:val="24"/>
          <w:szCs w:val="24"/>
        </w:rPr>
        <w:t xml:space="preserve">companies with financial management skills to help them secure or increase </w:t>
      </w:r>
      <w:r w:rsidRPr="00FC6B75">
        <w:rPr>
          <w:sz w:val="24"/>
          <w:szCs w:val="24"/>
        </w:rPr>
        <w:t>surety bonds necessary to compete on City contracts.  The program provides seven months of classroom and webinar training and one-on-one assistance, as well as introductions to a network of surety agents.  Firms are encouraged to bid on City contract opportunities where appropriate.   During the reporting period, the program accepted 32 participants into its fifth cohort.</w:t>
      </w:r>
    </w:p>
    <w:p w:rsidR="00CC1FDD" w:rsidRPr="00FC6B75" w:rsidRDefault="00CC1FDD" w:rsidP="00CC1FDD">
      <w:pPr>
        <w:spacing w:after="360" w:line="360" w:lineRule="auto"/>
        <w:jc w:val="both"/>
        <w:rPr>
          <w:sz w:val="24"/>
          <w:szCs w:val="24"/>
        </w:rPr>
      </w:pPr>
      <w:r w:rsidRPr="00FC6B75">
        <w:rPr>
          <w:b/>
          <w:bCs/>
          <w:sz w:val="24"/>
          <w:szCs w:val="24"/>
        </w:rPr>
        <w:t>NYC Construction Mentorship</w:t>
      </w:r>
      <w:r w:rsidRPr="00FC6B75">
        <w:rPr>
          <w:i/>
          <w:iCs/>
          <w:sz w:val="24"/>
          <w:szCs w:val="24"/>
        </w:rPr>
        <w:t xml:space="preserve"> </w:t>
      </w:r>
      <w:r w:rsidRPr="00FC6B75">
        <w:rPr>
          <w:sz w:val="24"/>
          <w:szCs w:val="24"/>
        </w:rPr>
        <w:t>provides certified construction firms with greater access to City construction opportunities.  Each firm receives eight months of classroom instruction and unlimited one-on-one mentorship and technical assistance, a business assessment, and a custom three-year growth plan for their business.  Firms are encouraged to bid on City contract opportunities where appropriate and are provided guidance by MOCS and City agency personnel who serve as subject matter experts.</w:t>
      </w:r>
      <w:r w:rsidRPr="00FC6B75">
        <w:t xml:space="preserve"> </w:t>
      </w:r>
      <w:r w:rsidRPr="00FC6B75">
        <w:rPr>
          <w:sz w:val="24"/>
          <w:szCs w:val="24"/>
        </w:rPr>
        <w:t>During the reporting period, the program accepted 55 firms into its fifth cohort.</w:t>
      </w:r>
    </w:p>
    <w:p w:rsidR="00CC1FDD" w:rsidRPr="00FC6B75" w:rsidRDefault="00CC1FDD" w:rsidP="00CC1FDD">
      <w:pPr>
        <w:spacing w:after="360" w:line="360" w:lineRule="auto"/>
        <w:jc w:val="both"/>
        <w:rPr>
          <w:sz w:val="24"/>
          <w:szCs w:val="24"/>
        </w:rPr>
      </w:pPr>
      <w:r w:rsidRPr="00FC6B75">
        <w:rPr>
          <w:b/>
          <w:bCs/>
          <w:sz w:val="24"/>
          <w:szCs w:val="24"/>
        </w:rPr>
        <w:t>NYC Goods &amp; Services Mentorship</w:t>
      </w:r>
      <w:r w:rsidRPr="00FC6B75">
        <w:rPr>
          <w:sz w:val="24"/>
          <w:szCs w:val="24"/>
        </w:rPr>
        <w:t xml:space="preserve"> is a new program that provides certified non-construction goods and services firms with education, mentoring and connections to City contracting opportunities.  Each participating firm receives eight months of classroom instruction and unlimited one-on-one mentorship and technical assistance from subject matter experts, a business needs assessment, and a custom three-year growth plan for their business.  City agency reps meet participating firms and introduce them to their procurement practices and contracting opportunities.  Firms are encouraged to bid on City solicitations where applicable, and are guided by MOCS and other agency staff on best practices.  During the reporting period, the program accepted 55 firms into its first cohort.</w:t>
      </w:r>
    </w:p>
    <w:p w:rsidR="00CC1FDD" w:rsidRPr="00FC6B75" w:rsidRDefault="00CC1FDD" w:rsidP="00CC1FDD">
      <w:pPr>
        <w:spacing w:after="360" w:line="360" w:lineRule="auto"/>
        <w:jc w:val="both"/>
        <w:rPr>
          <w:sz w:val="24"/>
          <w:szCs w:val="24"/>
        </w:rPr>
      </w:pPr>
      <w:r w:rsidRPr="00FC6B75">
        <w:rPr>
          <w:sz w:val="24"/>
          <w:szCs w:val="24"/>
        </w:rPr>
        <w:t xml:space="preserve">Through </w:t>
      </w:r>
      <w:r w:rsidRPr="00FC6B75">
        <w:rPr>
          <w:b/>
          <w:bCs/>
          <w:sz w:val="24"/>
          <w:szCs w:val="24"/>
        </w:rPr>
        <w:t>NYC Teaming</w:t>
      </w:r>
      <w:r w:rsidRPr="00FC6B75">
        <w:rPr>
          <w:sz w:val="24"/>
          <w:szCs w:val="24"/>
        </w:rPr>
        <w:t xml:space="preserve">, M/WBEs and other small businesses learn how to partner with other firms in order to be able to bid on larger or new market contract opportunities.  SBS offers a series of workshops and webinars that review different types of teaming arrangements, financial and legal issues, responding to RFPs and bids as teams, and marketing to potential partners. Each series culminates in a matchmaking event that facilitates industry-specific networking, brings firms together with City agency procurement </w:t>
      </w:r>
      <w:r w:rsidRPr="00FC6B75">
        <w:rPr>
          <w:sz w:val="24"/>
          <w:szCs w:val="24"/>
        </w:rPr>
        <w:lastRenderedPageBreak/>
        <w:t xml:space="preserve">event that facilitates industry-specific networking, brings firms together with City agency procurement representatives and prime contractors, and provides open requests for proposal and bids, when available, for participants to review with potential </w:t>
      </w:r>
      <w:r w:rsidRPr="005A75D0">
        <w:rPr>
          <w:sz w:val="24"/>
          <w:szCs w:val="24"/>
        </w:rPr>
        <w:t>partners. In the reporting period, SBS held 7 workshops, two business matchmaking events, and three webinars attended by a total of 418 participants.</w:t>
      </w:r>
    </w:p>
    <w:p w:rsidR="00CC1FDD" w:rsidRDefault="00CC1FDD" w:rsidP="00CC1FDD">
      <w:pPr>
        <w:spacing w:after="360" w:line="360" w:lineRule="auto"/>
        <w:jc w:val="both"/>
        <w:rPr>
          <w:sz w:val="24"/>
          <w:szCs w:val="24"/>
        </w:rPr>
      </w:pPr>
      <w:r w:rsidRPr="00FC6B75">
        <w:rPr>
          <w:sz w:val="24"/>
          <w:szCs w:val="24"/>
        </w:rPr>
        <w:t xml:space="preserve">The </w:t>
      </w:r>
      <w:r w:rsidRPr="00FC6B75">
        <w:rPr>
          <w:b/>
          <w:bCs/>
          <w:sz w:val="24"/>
          <w:szCs w:val="24"/>
        </w:rPr>
        <w:t>Corporate Alliance Program (CAP)</w:t>
      </w:r>
      <w:r w:rsidRPr="00FC6B75">
        <w:rPr>
          <w:sz w:val="24"/>
          <w:szCs w:val="24"/>
        </w:rPr>
        <w:t xml:space="preserve"> helps connect firms with contracting opportunities in the private sector in collaboration with 13 corporate partners.  Becoming a supplier to a large corporation is a major step forward for any small business, providing not only income but credibility, stability, and business relationships that come with experience.  With its CAP partners, SBS offers a workshop series that addresses key issues small businesses face when trying to break into the corporate supply chain.  During the reporting period, CAP held 4 workshops and two business networking events as part of the “Navigating the Corporate Supply Chain” workshops series that provided 275 attendees with connections to corporate partners and some of their primes vendors.  Additionally, three seminars </w:t>
      </w:r>
      <w:r w:rsidRPr="001815C8">
        <w:rPr>
          <w:sz w:val="24"/>
          <w:szCs w:val="24"/>
        </w:rPr>
        <w:t>and one group meeting of mentees were conducted for the 13 mentees in the CAP/NYC</w:t>
      </w:r>
      <w:r w:rsidRPr="001815C8">
        <w:rPr>
          <w:i/>
          <w:iCs/>
          <w:sz w:val="24"/>
          <w:szCs w:val="24"/>
        </w:rPr>
        <w:t>EO</w:t>
      </w:r>
      <w:r w:rsidRPr="001815C8">
        <w:rPr>
          <w:sz w:val="24"/>
          <w:szCs w:val="24"/>
        </w:rPr>
        <w:t xml:space="preserve"> M/WBE Mentorship Program for goods and services.</w:t>
      </w:r>
    </w:p>
    <w:p w:rsidR="00DA555E" w:rsidRDefault="00CC1FDD" w:rsidP="00CC1FDD">
      <w:pPr>
        <w:spacing w:after="360" w:line="360" w:lineRule="auto"/>
        <w:jc w:val="both"/>
        <w:rPr>
          <w:sz w:val="24"/>
          <w:szCs w:val="24"/>
        </w:rPr>
      </w:pPr>
      <w:r w:rsidRPr="00D15FAB">
        <w:rPr>
          <w:b/>
          <w:sz w:val="24"/>
          <w:szCs w:val="24"/>
        </w:rPr>
        <w:t>Strategic Steps for Growth</w:t>
      </w:r>
      <w:r w:rsidRPr="00D15FAB">
        <w:rPr>
          <w:sz w:val="24"/>
          <w:szCs w:val="24"/>
        </w:rPr>
        <w:t xml:space="preserve"> is a nine-month executive education program designed for M/WBEs, offered in partnership with the NYU Stern School of Business’ W.R. Berkley Innovation Lab and NYU Division of Operations. An industry-specific class is also offered for business owners in the media, entertainment, and technology fields.  The program provides participants with a new professional network, including business experts, university professors, and other business owners, and offers guidance for every aspect of business operations as well as a focus on capacity building for City and government contract opportunities for the enrolled M/WBEs and on private-sector opportunities for the enrolled media and entertainment firms.  Participants learn the strategic skills needed to run a growing company and create a custom, three-year growth plan for their businesses.  In this reporting period, 13 M/WBE firms are enrolled and participating in the 2016-2017 </w:t>
      </w:r>
      <w:proofErr w:type="gramStart"/>
      <w:r w:rsidRPr="00D15FAB">
        <w:rPr>
          <w:sz w:val="24"/>
          <w:szCs w:val="24"/>
        </w:rPr>
        <w:t>cohort</w:t>
      </w:r>
      <w:proofErr w:type="gramEnd"/>
      <w:r w:rsidRPr="00D15FAB">
        <w:rPr>
          <w:sz w:val="24"/>
          <w:szCs w:val="24"/>
        </w:rPr>
        <w:t>.</w:t>
      </w:r>
    </w:p>
    <w:p w:rsidR="00CC1FDD" w:rsidRPr="00DA555E" w:rsidRDefault="00CC1FDD" w:rsidP="00CC1FDD">
      <w:pPr>
        <w:spacing w:after="360" w:line="360" w:lineRule="auto"/>
        <w:jc w:val="both"/>
        <w:rPr>
          <w:sz w:val="24"/>
          <w:szCs w:val="24"/>
          <w:highlight w:val="yellow"/>
        </w:rPr>
      </w:pPr>
      <w:r w:rsidRPr="00234DDB">
        <w:rPr>
          <w:sz w:val="24"/>
          <w:szCs w:val="24"/>
        </w:rPr>
        <w:t xml:space="preserve">During the reporting period, New York City Economic Development Corporation and SBS launched the </w:t>
      </w:r>
      <w:r w:rsidRPr="00234DDB">
        <w:rPr>
          <w:b/>
          <w:sz w:val="24"/>
          <w:szCs w:val="24"/>
        </w:rPr>
        <w:t>Contract Financing Loan Fund</w:t>
      </w:r>
      <w:r w:rsidRPr="00234DDB">
        <w:rPr>
          <w:sz w:val="24"/>
          <w:szCs w:val="24"/>
        </w:rPr>
        <w:t xml:space="preserve"> in </w:t>
      </w:r>
      <w:r w:rsidRPr="00FC6B75">
        <w:rPr>
          <w:sz w:val="24"/>
          <w:szCs w:val="24"/>
        </w:rPr>
        <w:t>the third quarter of FY 2017. The Loan Fund enhances the ability of business owners to access the capital they need to win, take on and perform successfully on NYC contracts, and reduces the cost of capital to 3% annual interest rate. As of the end of the reporting period, $265,000 had been awarded through the Loan Fund since its launch.</w:t>
      </w:r>
    </w:p>
    <w:p w:rsidR="00CC1FDD" w:rsidRPr="00FC6B75" w:rsidRDefault="00CC1FDD" w:rsidP="00CC1FDD">
      <w:pPr>
        <w:spacing w:after="360" w:line="360" w:lineRule="auto"/>
        <w:jc w:val="both"/>
        <w:rPr>
          <w:rFonts w:ascii="Calibri" w:hAnsi="Calibri"/>
          <w:b/>
          <w:sz w:val="26"/>
          <w:szCs w:val="26"/>
        </w:rPr>
      </w:pPr>
      <w:r w:rsidRPr="00FC6B75">
        <w:rPr>
          <w:rFonts w:ascii="Calibri" w:hAnsi="Calibri"/>
          <w:b/>
          <w:sz w:val="26"/>
          <w:szCs w:val="26"/>
        </w:rPr>
        <w:lastRenderedPageBreak/>
        <w:t>Program Compliance</w:t>
      </w:r>
    </w:p>
    <w:p w:rsidR="00CC1FDD" w:rsidRPr="00FC6B75" w:rsidRDefault="00CC1FDD" w:rsidP="00CC1FDD">
      <w:pPr>
        <w:autoSpaceDE w:val="0"/>
        <w:autoSpaceDN w:val="0"/>
        <w:spacing w:after="360" w:line="360" w:lineRule="auto"/>
        <w:jc w:val="both"/>
        <w:rPr>
          <w:rFonts w:ascii="Calibri" w:eastAsia="Calibri" w:hAnsi="Calibri" w:cs="Times New Roman"/>
          <w:sz w:val="24"/>
          <w:szCs w:val="24"/>
        </w:rPr>
      </w:pPr>
      <w:r w:rsidRPr="00FC6B75">
        <w:rPr>
          <w:rFonts w:ascii="Calibri" w:eastAsia="Calibri" w:hAnsi="Calibri" w:cs="Times New Roman"/>
          <w:sz w:val="24"/>
          <w:szCs w:val="24"/>
        </w:rPr>
        <w:t xml:space="preserve">To ensure that all agency staff responsible for purchasing activities are knowledgeable about the M/WBE program and their agency’s goals, SBS and MOCS conduct agency training sessions at the Citywide Training Center and specific trainings at agency offices.  During the first three quarters of FY 2017, 299 procurement professionals from </w:t>
      </w:r>
      <w:r>
        <w:rPr>
          <w:rFonts w:ascii="Calibri" w:eastAsia="Calibri" w:hAnsi="Calibri" w:cs="Times New Roman"/>
          <w:sz w:val="24"/>
          <w:szCs w:val="24"/>
        </w:rPr>
        <w:t>32</w:t>
      </w:r>
      <w:r w:rsidRPr="00FC6B75">
        <w:rPr>
          <w:rFonts w:ascii="Calibri" w:eastAsia="Calibri" w:hAnsi="Calibri" w:cs="Times New Roman"/>
          <w:sz w:val="24"/>
          <w:szCs w:val="24"/>
        </w:rPr>
        <w:t xml:space="preserve"> agencies attended ten training sessions.  The topics included Local Law 1 implementation, strategies and best practices used to identify M/WBEs for contract opportunities, Online Directory training, and enhancing M/WBE procedures in all contract areas.</w:t>
      </w:r>
    </w:p>
    <w:p w:rsidR="00CC1FDD" w:rsidRPr="00FC6B75" w:rsidRDefault="00CC1FDD" w:rsidP="00CC1FDD">
      <w:pPr>
        <w:autoSpaceDE w:val="0"/>
        <w:autoSpaceDN w:val="0"/>
        <w:spacing w:after="360" w:line="360" w:lineRule="auto"/>
        <w:jc w:val="both"/>
        <w:rPr>
          <w:sz w:val="24"/>
          <w:szCs w:val="24"/>
        </w:rPr>
      </w:pPr>
      <w:r w:rsidRPr="00FC6B75">
        <w:rPr>
          <w:sz w:val="24"/>
          <w:szCs w:val="24"/>
        </w:rPr>
        <w:t>During the third quarter of FY 2017, SBS completed the FY 2015 compliance audit of 5% of all open City contracts for which subcontractor utilization plans were established, including prime contracts awarded in FY 2014 and FY 2015, and 5% of all City contracts awarded to M/WBEs during the audit period.  Fifteen prime contracts and forty-four subcontracts were randomly selected for the FY 2015 audit.</w:t>
      </w:r>
    </w:p>
    <w:p w:rsidR="00CC1FDD" w:rsidRDefault="00CC1FDD" w:rsidP="004D75FD">
      <w:pPr>
        <w:autoSpaceDE w:val="0"/>
        <w:autoSpaceDN w:val="0"/>
        <w:spacing w:after="360" w:line="360" w:lineRule="auto"/>
        <w:jc w:val="both"/>
        <w:rPr>
          <w:b/>
          <w:sz w:val="26"/>
          <w:szCs w:val="26"/>
        </w:rPr>
      </w:pPr>
      <w:r w:rsidRPr="00FC6B75">
        <w:rPr>
          <w:sz w:val="24"/>
          <w:szCs w:val="24"/>
        </w:rPr>
        <w:t xml:space="preserve">In the reporting period, M/WBE Senior Advisor Jonnel Doris held the first quarterly compliance meeting with agency commissioners and M/WBE officers to discuss utilization and agency initiatives to increase M/WBE performance.  The meeting was held on July 13, 2016 and was attended by 62 staff members representing 37 agencies.  In September of 2016, Mayor Bill de Blasio announced the appointment of Deputy Mayor for Strategic Policy Initiatives Richard </w:t>
      </w:r>
      <w:proofErr w:type="spellStart"/>
      <w:r w:rsidRPr="00FC6B75">
        <w:rPr>
          <w:sz w:val="24"/>
          <w:szCs w:val="24"/>
        </w:rPr>
        <w:t>Buery</w:t>
      </w:r>
      <w:proofErr w:type="spellEnd"/>
      <w:r w:rsidRPr="00FC6B75">
        <w:rPr>
          <w:sz w:val="24"/>
          <w:szCs w:val="24"/>
        </w:rPr>
        <w:t xml:space="preserve"> as the new Director of the City’s M/WBE program and the creation of the Mayor’s Office of M/WBEs under the leadership of M/WBE Senior Advisor Jonnel Doris. Deputy Mayor</w:t>
      </w:r>
      <w:r w:rsidRPr="00FC6B75">
        <w:t xml:space="preserve"> </w:t>
      </w:r>
      <w:proofErr w:type="spellStart"/>
      <w:r w:rsidRPr="00FC6B75">
        <w:rPr>
          <w:sz w:val="24"/>
          <w:szCs w:val="24"/>
        </w:rPr>
        <w:t>Buery</w:t>
      </w:r>
      <w:proofErr w:type="spellEnd"/>
      <w:r w:rsidRPr="00FC6B75">
        <w:t xml:space="preserve"> </w:t>
      </w:r>
      <w:r w:rsidRPr="00FC6B75">
        <w:rPr>
          <w:sz w:val="24"/>
          <w:szCs w:val="24"/>
        </w:rPr>
        <w:t xml:space="preserve">held the second and third quarterly compliance meetings.  The second meeting was held on October 14, 2016 and was attended by 65 staff members representing 36 agencies. </w:t>
      </w:r>
      <w:r>
        <w:rPr>
          <w:sz w:val="24"/>
          <w:szCs w:val="24"/>
        </w:rPr>
        <w:t xml:space="preserve">The third </w:t>
      </w:r>
      <w:r w:rsidRPr="00FC6B75">
        <w:rPr>
          <w:sz w:val="24"/>
          <w:szCs w:val="24"/>
        </w:rPr>
        <w:t xml:space="preserve">meeting was held on January 26, 2017 and was attended </w:t>
      </w:r>
      <w:r w:rsidRPr="00020B1F">
        <w:rPr>
          <w:sz w:val="24"/>
          <w:szCs w:val="24"/>
        </w:rPr>
        <w:t xml:space="preserve">by </w:t>
      </w:r>
      <w:r w:rsidR="004D75FD" w:rsidRPr="00020B1F">
        <w:rPr>
          <w:sz w:val="24"/>
          <w:szCs w:val="24"/>
        </w:rPr>
        <w:t>66</w:t>
      </w:r>
      <w:r w:rsidRPr="00020B1F">
        <w:rPr>
          <w:sz w:val="24"/>
          <w:szCs w:val="24"/>
        </w:rPr>
        <w:t xml:space="preserve"> staff members representing </w:t>
      </w:r>
      <w:r w:rsidR="004D75FD" w:rsidRPr="00020B1F">
        <w:rPr>
          <w:sz w:val="24"/>
          <w:szCs w:val="24"/>
        </w:rPr>
        <w:t>33</w:t>
      </w:r>
      <w:r w:rsidRPr="00FC6B75">
        <w:rPr>
          <w:sz w:val="24"/>
          <w:szCs w:val="24"/>
        </w:rPr>
        <w:t xml:space="preserve"> agencies. </w:t>
      </w:r>
    </w:p>
    <w:p w:rsidR="00CC1FDD" w:rsidRPr="00FC6B75" w:rsidRDefault="00CC1FDD" w:rsidP="00CC1FDD">
      <w:pPr>
        <w:pStyle w:val="Default"/>
        <w:spacing w:after="360" w:line="360" w:lineRule="auto"/>
        <w:jc w:val="both"/>
        <w:rPr>
          <w:b/>
          <w:color w:val="auto"/>
          <w:sz w:val="26"/>
          <w:szCs w:val="26"/>
        </w:rPr>
      </w:pPr>
      <w:r w:rsidRPr="00FC6B75">
        <w:rPr>
          <w:b/>
          <w:color w:val="auto"/>
          <w:sz w:val="26"/>
          <w:szCs w:val="26"/>
        </w:rPr>
        <w:t>Qualified Joint Venture Agreements</w:t>
      </w:r>
    </w:p>
    <w:p w:rsidR="00CC1FDD" w:rsidRPr="00FC6B75" w:rsidRDefault="00CC1FDD" w:rsidP="00CC1FDD">
      <w:pPr>
        <w:pStyle w:val="Default"/>
        <w:spacing w:after="360"/>
        <w:jc w:val="both"/>
        <w:rPr>
          <w:rFonts w:cstheme="minorBidi"/>
          <w:color w:val="auto"/>
        </w:rPr>
      </w:pPr>
      <w:r w:rsidRPr="00FC6B75">
        <w:rPr>
          <w:rFonts w:cstheme="minorBidi"/>
          <w:color w:val="auto"/>
        </w:rPr>
        <w:t>There was one contract subject to the M/WBE program awarded to a qualified joint venture in the first three quarters of FY 2017.</w:t>
      </w:r>
    </w:p>
    <w:tbl>
      <w:tblPr>
        <w:tblW w:w="10120" w:type="dxa"/>
        <w:tblInd w:w="93" w:type="dxa"/>
        <w:tblLook w:val="04A0" w:firstRow="1" w:lastRow="0" w:firstColumn="1" w:lastColumn="0" w:noHBand="0" w:noVBand="1"/>
      </w:tblPr>
      <w:tblGrid>
        <w:gridCol w:w="2134"/>
        <w:gridCol w:w="1999"/>
        <w:gridCol w:w="2031"/>
        <w:gridCol w:w="1389"/>
        <w:gridCol w:w="1647"/>
        <w:gridCol w:w="920"/>
      </w:tblGrid>
      <w:tr w:rsidR="00CC1FDD" w:rsidRPr="00FC6B75" w:rsidTr="001D6CDF">
        <w:trPr>
          <w:trHeight w:val="315"/>
        </w:trPr>
        <w:tc>
          <w:tcPr>
            <w:tcW w:w="21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1FDD" w:rsidRPr="00FC6B75" w:rsidRDefault="00CC1FDD" w:rsidP="001D6CDF">
            <w:pPr>
              <w:jc w:val="center"/>
              <w:rPr>
                <w:rFonts w:ascii="Calibri" w:eastAsia="Times New Roman" w:hAnsi="Calibri" w:cs="Times New Roman"/>
                <w:b/>
                <w:bCs/>
              </w:rPr>
            </w:pPr>
            <w:r w:rsidRPr="00FC6B75">
              <w:rPr>
                <w:rFonts w:ascii="Calibri" w:eastAsia="Times New Roman" w:hAnsi="Calibri" w:cs="Times New Roman"/>
                <w:b/>
                <w:bCs/>
              </w:rPr>
              <w:t>Contract Industry</w:t>
            </w:r>
          </w:p>
        </w:tc>
        <w:tc>
          <w:tcPr>
            <w:tcW w:w="2020" w:type="dxa"/>
            <w:tcBorders>
              <w:top w:val="single" w:sz="8" w:space="0" w:color="auto"/>
              <w:left w:val="nil"/>
              <w:bottom w:val="single" w:sz="8" w:space="0" w:color="auto"/>
              <w:right w:val="single" w:sz="8" w:space="0" w:color="auto"/>
            </w:tcBorders>
            <w:shd w:val="clear" w:color="auto" w:fill="auto"/>
            <w:vAlign w:val="center"/>
            <w:hideMark/>
          </w:tcPr>
          <w:p w:rsidR="00CC1FDD" w:rsidRPr="00FC6B75" w:rsidRDefault="00CC1FDD" w:rsidP="001D6CDF">
            <w:pPr>
              <w:jc w:val="center"/>
              <w:rPr>
                <w:rFonts w:ascii="Calibri" w:eastAsia="Times New Roman" w:hAnsi="Calibri" w:cs="Times New Roman"/>
                <w:b/>
                <w:bCs/>
              </w:rPr>
            </w:pPr>
            <w:r w:rsidRPr="00FC6B75">
              <w:rPr>
                <w:rFonts w:ascii="Calibri" w:eastAsia="Times New Roman" w:hAnsi="Calibri" w:cs="Times New Roman"/>
                <w:b/>
                <w:bCs/>
              </w:rPr>
              <w:t>Total Contract Value</w:t>
            </w:r>
          </w:p>
        </w:tc>
        <w:tc>
          <w:tcPr>
            <w:tcW w:w="2060" w:type="dxa"/>
            <w:tcBorders>
              <w:top w:val="single" w:sz="8" w:space="0" w:color="auto"/>
              <w:left w:val="nil"/>
              <w:bottom w:val="single" w:sz="8" w:space="0" w:color="auto"/>
              <w:right w:val="single" w:sz="8" w:space="0" w:color="auto"/>
            </w:tcBorders>
            <w:shd w:val="clear" w:color="auto" w:fill="auto"/>
            <w:vAlign w:val="center"/>
            <w:hideMark/>
          </w:tcPr>
          <w:p w:rsidR="00CC1FDD" w:rsidRPr="00FC6B75" w:rsidRDefault="00CC1FDD" w:rsidP="001D6CDF">
            <w:pPr>
              <w:jc w:val="center"/>
              <w:rPr>
                <w:rFonts w:ascii="Calibri" w:eastAsia="Times New Roman" w:hAnsi="Calibri" w:cs="Times New Roman"/>
                <w:b/>
                <w:bCs/>
              </w:rPr>
            </w:pPr>
            <w:r w:rsidRPr="00FC6B75">
              <w:rPr>
                <w:rFonts w:ascii="Calibri" w:eastAsia="Times New Roman" w:hAnsi="Calibri" w:cs="Times New Roman"/>
                <w:b/>
                <w:bCs/>
              </w:rPr>
              <w:t>Number of Contracts</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CC1FDD" w:rsidRPr="00FC6B75" w:rsidRDefault="00CC1FDD" w:rsidP="001D6CDF">
            <w:pPr>
              <w:jc w:val="center"/>
              <w:rPr>
                <w:rFonts w:ascii="Calibri" w:eastAsia="Times New Roman" w:hAnsi="Calibri" w:cs="Times New Roman"/>
                <w:b/>
                <w:bCs/>
              </w:rPr>
            </w:pPr>
            <w:r w:rsidRPr="00FC6B75">
              <w:rPr>
                <w:rFonts w:ascii="Calibri" w:eastAsia="Times New Roman" w:hAnsi="Calibri" w:cs="Times New Roman"/>
                <w:b/>
                <w:bCs/>
              </w:rPr>
              <w:t>Ethnicity</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CC1FDD" w:rsidRPr="00FC6B75" w:rsidRDefault="00CC1FDD" w:rsidP="001D6CDF">
            <w:pPr>
              <w:jc w:val="center"/>
              <w:rPr>
                <w:rFonts w:ascii="Calibri" w:eastAsia="Times New Roman" w:hAnsi="Calibri" w:cs="Times New Roman"/>
                <w:b/>
                <w:bCs/>
              </w:rPr>
            </w:pPr>
            <w:r w:rsidRPr="00FC6B75">
              <w:rPr>
                <w:rFonts w:ascii="Calibri" w:eastAsia="Times New Roman" w:hAnsi="Calibri" w:cs="Times New Roman"/>
                <w:b/>
                <w:bCs/>
              </w:rPr>
              <w:t>Value to M/WBE</w:t>
            </w:r>
          </w:p>
        </w:tc>
        <w:tc>
          <w:tcPr>
            <w:tcW w:w="820" w:type="dxa"/>
            <w:tcBorders>
              <w:top w:val="single" w:sz="8" w:space="0" w:color="auto"/>
              <w:left w:val="nil"/>
              <w:bottom w:val="single" w:sz="8" w:space="0" w:color="auto"/>
              <w:right w:val="single" w:sz="8" w:space="0" w:color="auto"/>
            </w:tcBorders>
            <w:shd w:val="clear" w:color="auto" w:fill="auto"/>
            <w:vAlign w:val="center"/>
            <w:hideMark/>
          </w:tcPr>
          <w:p w:rsidR="00CC1FDD" w:rsidRPr="00FC6B75" w:rsidRDefault="00CC1FDD" w:rsidP="001D6CDF">
            <w:pPr>
              <w:jc w:val="center"/>
              <w:rPr>
                <w:rFonts w:ascii="Calibri" w:eastAsia="Times New Roman" w:hAnsi="Calibri" w:cs="Times New Roman"/>
                <w:b/>
                <w:bCs/>
              </w:rPr>
            </w:pPr>
            <w:r w:rsidRPr="00FC6B75">
              <w:rPr>
                <w:rFonts w:ascii="Calibri" w:eastAsia="Times New Roman" w:hAnsi="Calibri" w:cs="Times New Roman"/>
                <w:b/>
                <w:bCs/>
              </w:rPr>
              <w:t>Percent</w:t>
            </w:r>
          </w:p>
        </w:tc>
      </w:tr>
      <w:tr w:rsidR="00CC1FDD" w:rsidRPr="00FC6B75" w:rsidTr="001D6CDF">
        <w:trPr>
          <w:trHeight w:val="315"/>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CC1FDD" w:rsidRPr="00FC6B75" w:rsidRDefault="00CC1FDD" w:rsidP="001D6CDF">
            <w:pPr>
              <w:rPr>
                <w:rFonts w:ascii="Calibri" w:eastAsia="Times New Roman" w:hAnsi="Calibri" w:cs="Times New Roman"/>
              </w:rPr>
            </w:pPr>
            <w:r w:rsidRPr="00FC6B75">
              <w:rPr>
                <w:rFonts w:ascii="Calibri" w:eastAsia="Times New Roman" w:hAnsi="Calibri" w:cs="Times New Roman"/>
              </w:rPr>
              <w:t>Professional Services</w:t>
            </w:r>
          </w:p>
        </w:tc>
        <w:tc>
          <w:tcPr>
            <w:tcW w:w="2020" w:type="dxa"/>
            <w:tcBorders>
              <w:top w:val="nil"/>
              <w:left w:val="nil"/>
              <w:bottom w:val="single" w:sz="8" w:space="0" w:color="auto"/>
              <w:right w:val="single" w:sz="8" w:space="0" w:color="auto"/>
            </w:tcBorders>
            <w:shd w:val="clear" w:color="auto" w:fill="auto"/>
            <w:vAlign w:val="center"/>
            <w:hideMark/>
          </w:tcPr>
          <w:p w:rsidR="00CC1FDD" w:rsidRPr="00FC6B75" w:rsidRDefault="00CC1FDD" w:rsidP="001D6CDF">
            <w:pPr>
              <w:jc w:val="center"/>
              <w:rPr>
                <w:rFonts w:ascii="Calibri" w:eastAsia="Times New Roman" w:hAnsi="Calibri" w:cs="Times New Roman"/>
              </w:rPr>
            </w:pPr>
            <w:r w:rsidRPr="00FC6B75">
              <w:rPr>
                <w:rFonts w:ascii="Calibri" w:eastAsia="Times New Roman" w:hAnsi="Calibri" w:cs="Times New Roman"/>
              </w:rPr>
              <w:t xml:space="preserve">$13,809,880 </w:t>
            </w:r>
          </w:p>
        </w:tc>
        <w:tc>
          <w:tcPr>
            <w:tcW w:w="2060" w:type="dxa"/>
            <w:tcBorders>
              <w:top w:val="nil"/>
              <w:left w:val="nil"/>
              <w:bottom w:val="single" w:sz="8" w:space="0" w:color="auto"/>
              <w:right w:val="single" w:sz="8" w:space="0" w:color="auto"/>
            </w:tcBorders>
            <w:shd w:val="clear" w:color="auto" w:fill="auto"/>
            <w:vAlign w:val="center"/>
            <w:hideMark/>
          </w:tcPr>
          <w:p w:rsidR="00CC1FDD" w:rsidRPr="00FC6B75" w:rsidRDefault="00CC1FDD" w:rsidP="001D6CDF">
            <w:pPr>
              <w:jc w:val="center"/>
              <w:rPr>
                <w:rFonts w:ascii="Calibri" w:eastAsia="Times New Roman" w:hAnsi="Calibri" w:cs="Times New Roman"/>
              </w:rPr>
            </w:pPr>
            <w:r w:rsidRPr="00FC6B75">
              <w:rPr>
                <w:rFonts w:ascii="Calibri" w:eastAsia="Times New Roman" w:hAnsi="Calibri" w:cs="Times New Roman"/>
              </w:rPr>
              <w:t>1</w:t>
            </w:r>
          </w:p>
        </w:tc>
        <w:tc>
          <w:tcPr>
            <w:tcW w:w="1400" w:type="dxa"/>
            <w:tcBorders>
              <w:top w:val="nil"/>
              <w:left w:val="nil"/>
              <w:bottom w:val="single" w:sz="8" w:space="0" w:color="auto"/>
              <w:right w:val="single" w:sz="8" w:space="0" w:color="auto"/>
            </w:tcBorders>
            <w:shd w:val="clear" w:color="auto" w:fill="auto"/>
            <w:vAlign w:val="center"/>
            <w:hideMark/>
          </w:tcPr>
          <w:p w:rsidR="00CC1FDD" w:rsidRPr="00FC6B75" w:rsidRDefault="00CC1FDD" w:rsidP="001D6CDF">
            <w:pPr>
              <w:jc w:val="center"/>
              <w:rPr>
                <w:rFonts w:ascii="Calibri" w:eastAsia="Times New Roman" w:hAnsi="Calibri" w:cs="Times New Roman"/>
              </w:rPr>
            </w:pPr>
            <w:r w:rsidRPr="00FC6B75">
              <w:rPr>
                <w:rFonts w:ascii="Calibri" w:eastAsia="Times New Roman" w:hAnsi="Calibri" w:cs="Times New Roman"/>
              </w:rPr>
              <w:t>Asian</w:t>
            </w:r>
          </w:p>
        </w:tc>
        <w:tc>
          <w:tcPr>
            <w:tcW w:w="1660" w:type="dxa"/>
            <w:tcBorders>
              <w:top w:val="nil"/>
              <w:left w:val="nil"/>
              <w:bottom w:val="single" w:sz="8" w:space="0" w:color="auto"/>
              <w:right w:val="single" w:sz="8" w:space="0" w:color="auto"/>
            </w:tcBorders>
            <w:shd w:val="clear" w:color="auto" w:fill="auto"/>
            <w:vAlign w:val="center"/>
            <w:hideMark/>
          </w:tcPr>
          <w:p w:rsidR="00CC1FDD" w:rsidRPr="00FC6B75" w:rsidRDefault="00CC1FDD" w:rsidP="004D75FD">
            <w:pPr>
              <w:jc w:val="center"/>
              <w:rPr>
                <w:rFonts w:ascii="Calibri" w:eastAsia="Times New Roman" w:hAnsi="Calibri" w:cs="Times New Roman"/>
              </w:rPr>
            </w:pPr>
            <w:r w:rsidRPr="00FC6B75">
              <w:rPr>
                <w:rFonts w:ascii="Calibri" w:eastAsia="Times New Roman" w:hAnsi="Calibri" w:cs="Times New Roman"/>
              </w:rPr>
              <w:t>$6,904,940</w:t>
            </w:r>
          </w:p>
        </w:tc>
        <w:tc>
          <w:tcPr>
            <w:tcW w:w="820" w:type="dxa"/>
            <w:tcBorders>
              <w:top w:val="nil"/>
              <w:left w:val="nil"/>
              <w:bottom w:val="single" w:sz="8" w:space="0" w:color="auto"/>
              <w:right w:val="single" w:sz="8" w:space="0" w:color="auto"/>
            </w:tcBorders>
            <w:shd w:val="clear" w:color="auto" w:fill="auto"/>
            <w:vAlign w:val="center"/>
            <w:hideMark/>
          </w:tcPr>
          <w:p w:rsidR="00CC1FDD" w:rsidRPr="00FC6B75" w:rsidRDefault="00CC1FDD" w:rsidP="001D6CDF">
            <w:pPr>
              <w:jc w:val="center"/>
              <w:rPr>
                <w:rFonts w:ascii="Calibri" w:eastAsia="Times New Roman" w:hAnsi="Calibri" w:cs="Times New Roman"/>
              </w:rPr>
            </w:pPr>
            <w:r w:rsidRPr="00FC6B75">
              <w:rPr>
                <w:rFonts w:ascii="Calibri" w:eastAsia="Times New Roman" w:hAnsi="Calibri" w:cs="Times New Roman"/>
              </w:rPr>
              <w:t>50%</w:t>
            </w:r>
          </w:p>
        </w:tc>
      </w:tr>
    </w:tbl>
    <w:p w:rsidR="00CC1FDD" w:rsidRPr="00FC6B75" w:rsidRDefault="00CC1FDD" w:rsidP="00CC1FDD">
      <w:pPr>
        <w:pStyle w:val="Default"/>
        <w:spacing w:before="360" w:after="360" w:line="360" w:lineRule="auto"/>
        <w:jc w:val="both"/>
        <w:rPr>
          <w:b/>
          <w:color w:val="auto"/>
          <w:sz w:val="26"/>
          <w:szCs w:val="26"/>
        </w:rPr>
      </w:pPr>
      <w:r w:rsidRPr="00FC6B75">
        <w:rPr>
          <w:b/>
          <w:color w:val="auto"/>
          <w:sz w:val="26"/>
          <w:szCs w:val="26"/>
        </w:rPr>
        <w:lastRenderedPageBreak/>
        <w:t>Efforts to Reduce or Eliminate Barriers to Competition</w:t>
      </w:r>
    </w:p>
    <w:p w:rsidR="00CC1FDD" w:rsidRPr="003C0D88" w:rsidRDefault="00CC1FDD" w:rsidP="00CC1FDD">
      <w:pPr>
        <w:spacing w:after="360" w:line="360" w:lineRule="auto"/>
        <w:jc w:val="both"/>
        <w:rPr>
          <w:rFonts w:ascii="Calibri" w:hAnsi="Calibri"/>
          <w:sz w:val="24"/>
          <w:szCs w:val="24"/>
        </w:rPr>
      </w:pPr>
      <w:r w:rsidRPr="004C14B2">
        <w:rPr>
          <w:rFonts w:ascii="Calibri" w:hAnsi="Calibri"/>
          <w:sz w:val="24"/>
          <w:szCs w:val="24"/>
        </w:rPr>
        <w:t xml:space="preserve">Since the </w:t>
      </w:r>
      <w:r w:rsidRPr="003C0D88">
        <w:rPr>
          <w:rFonts w:ascii="Calibri" w:hAnsi="Calibri"/>
          <w:sz w:val="24"/>
          <w:szCs w:val="24"/>
        </w:rPr>
        <w:t xml:space="preserve">implementation of the M/WBE program, the City </w:t>
      </w:r>
      <w:r>
        <w:rPr>
          <w:rFonts w:ascii="Calibri" w:hAnsi="Calibri"/>
          <w:sz w:val="24"/>
          <w:szCs w:val="24"/>
        </w:rPr>
        <w:t>continues to undertake</w:t>
      </w:r>
      <w:r w:rsidRPr="003C0D88">
        <w:rPr>
          <w:rFonts w:ascii="Calibri" w:hAnsi="Calibri"/>
          <w:sz w:val="24"/>
          <w:szCs w:val="24"/>
        </w:rPr>
        <w:t xml:space="preserve"> a number of efforts to reduce barriers for M/WBEs and small businesses that are competing for contracts and currently doing business with the City.  As mentioned above, SBS </w:t>
      </w:r>
      <w:r>
        <w:rPr>
          <w:rFonts w:ascii="Calibri" w:hAnsi="Calibri"/>
          <w:sz w:val="24"/>
          <w:szCs w:val="24"/>
        </w:rPr>
        <w:t>is operating</w:t>
      </w:r>
      <w:r w:rsidRPr="003C0D88">
        <w:rPr>
          <w:rFonts w:ascii="Calibri" w:hAnsi="Calibri"/>
          <w:sz w:val="24"/>
          <w:szCs w:val="24"/>
        </w:rPr>
        <w:t xml:space="preserve"> a bond readiness program to help firms secure surety bonds for larger City construction projects, and</w:t>
      </w:r>
      <w:r>
        <w:rPr>
          <w:rFonts w:ascii="Calibri" w:hAnsi="Calibri"/>
          <w:sz w:val="24"/>
          <w:szCs w:val="24"/>
        </w:rPr>
        <w:t xml:space="preserve"> was accepting applications for the fifth cohort of this program in the reporting period. In the reporting period, SBS is also working on launching the new Bond Collateral Assistance Fund, funded with $10 million, to help small businesses and M/WBEs secure surety bonds to perform on City Contracts.</w:t>
      </w:r>
    </w:p>
    <w:p w:rsidR="00CC1FDD" w:rsidRDefault="00CC1FDD" w:rsidP="00CC1FDD">
      <w:pPr>
        <w:spacing w:after="360" w:line="360" w:lineRule="auto"/>
        <w:jc w:val="both"/>
        <w:rPr>
          <w:rFonts w:ascii="Calibri" w:hAnsi="Calibri"/>
          <w:sz w:val="24"/>
          <w:szCs w:val="24"/>
        </w:rPr>
      </w:pPr>
      <w:r w:rsidRPr="002C1B97">
        <w:rPr>
          <w:rFonts w:ascii="Calibri" w:hAnsi="Calibri"/>
          <w:sz w:val="24"/>
          <w:szCs w:val="24"/>
        </w:rPr>
        <w:t xml:space="preserve">To make it easier to do business with the City, agencies are required to post all solicitation materials through the City Record Online, allowing vendors to identify opportunities and download relevant materials from one online location.  SBS also continues to assist companies </w:t>
      </w:r>
      <w:r>
        <w:rPr>
          <w:rFonts w:ascii="Calibri" w:hAnsi="Calibri"/>
          <w:sz w:val="24"/>
          <w:szCs w:val="24"/>
        </w:rPr>
        <w:t>with</w:t>
      </w:r>
      <w:r w:rsidRPr="002C1B97">
        <w:rPr>
          <w:rFonts w:ascii="Calibri" w:hAnsi="Calibri"/>
          <w:sz w:val="24"/>
          <w:szCs w:val="24"/>
        </w:rPr>
        <w:t xml:space="preserve"> expediting their payment requests from prim</w:t>
      </w:r>
      <w:r>
        <w:rPr>
          <w:rFonts w:ascii="Calibri" w:hAnsi="Calibri"/>
          <w:sz w:val="24"/>
          <w:szCs w:val="24"/>
        </w:rPr>
        <w:t>e contractors and City agencies.</w:t>
      </w:r>
    </w:p>
    <w:p w:rsidR="00267026" w:rsidRPr="00406B94" w:rsidRDefault="00267026" w:rsidP="00267026">
      <w:pPr>
        <w:spacing w:after="360" w:line="360" w:lineRule="auto"/>
        <w:jc w:val="both"/>
        <w:rPr>
          <w:rFonts w:ascii="Calibri" w:hAnsi="Calibri"/>
          <w:b/>
          <w:sz w:val="26"/>
          <w:szCs w:val="26"/>
        </w:rPr>
      </w:pPr>
      <w:r w:rsidRPr="00406B94">
        <w:rPr>
          <w:rFonts w:ascii="Calibri" w:hAnsi="Calibri"/>
          <w:b/>
          <w:sz w:val="26"/>
          <w:szCs w:val="26"/>
        </w:rPr>
        <w:t>Prime Contract M/WBE Utilization</w:t>
      </w:r>
    </w:p>
    <w:p w:rsidR="00267026" w:rsidRDefault="00267026" w:rsidP="00267026">
      <w:pPr>
        <w:spacing w:after="360" w:line="360" w:lineRule="auto"/>
        <w:jc w:val="both"/>
        <w:rPr>
          <w:rFonts w:ascii="Calibri" w:hAnsi="Calibri"/>
          <w:sz w:val="24"/>
          <w:szCs w:val="24"/>
        </w:rPr>
      </w:pPr>
      <w:r w:rsidRPr="00406B94">
        <w:rPr>
          <w:rFonts w:ascii="Calibri" w:hAnsi="Calibri"/>
          <w:sz w:val="24"/>
          <w:szCs w:val="24"/>
        </w:rPr>
        <w:t>Table 1 below summarizes prime contracts awarded by City agencies during the first</w:t>
      </w:r>
      <w:r w:rsidR="00CC1FDD">
        <w:rPr>
          <w:rFonts w:ascii="Calibri" w:hAnsi="Calibri"/>
          <w:sz w:val="24"/>
          <w:szCs w:val="24"/>
        </w:rPr>
        <w:t xml:space="preserve"> three </w:t>
      </w:r>
      <w:r w:rsidRPr="00406B94">
        <w:rPr>
          <w:rFonts w:ascii="Calibri" w:hAnsi="Calibri"/>
          <w:sz w:val="24"/>
          <w:szCs w:val="24"/>
        </w:rPr>
        <w:t>quarter</w:t>
      </w:r>
      <w:r w:rsidR="00993755">
        <w:rPr>
          <w:rFonts w:ascii="Calibri" w:hAnsi="Calibri"/>
          <w:sz w:val="24"/>
          <w:szCs w:val="24"/>
        </w:rPr>
        <w:t>s</w:t>
      </w:r>
      <w:r w:rsidRPr="00406B94">
        <w:rPr>
          <w:rFonts w:ascii="Calibri" w:hAnsi="Calibri"/>
          <w:sz w:val="24"/>
          <w:szCs w:val="24"/>
        </w:rPr>
        <w:t xml:space="preserve"> of FY 201</w:t>
      </w:r>
      <w:r w:rsidR="00334C2E">
        <w:rPr>
          <w:rFonts w:ascii="Calibri" w:hAnsi="Calibri"/>
          <w:sz w:val="24"/>
          <w:szCs w:val="24"/>
        </w:rPr>
        <w:t>7</w:t>
      </w:r>
      <w:r w:rsidRPr="00406B94">
        <w:rPr>
          <w:rFonts w:ascii="Calibri" w:hAnsi="Calibri"/>
          <w:sz w:val="24"/>
          <w:szCs w:val="24"/>
        </w:rPr>
        <w:t xml:space="preserve">. M/WBEs were awarded </w:t>
      </w:r>
      <w:r w:rsidR="00366E70">
        <w:rPr>
          <w:rFonts w:ascii="Calibri" w:hAnsi="Calibri"/>
          <w:sz w:val="24"/>
          <w:szCs w:val="24"/>
        </w:rPr>
        <w:t>over</w:t>
      </w:r>
      <w:r w:rsidR="00366E70" w:rsidRPr="00406B94">
        <w:rPr>
          <w:rFonts w:ascii="Calibri" w:hAnsi="Calibri"/>
          <w:sz w:val="24"/>
          <w:szCs w:val="24"/>
        </w:rPr>
        <w:t xml:space="preserve"> </w:t>
      </w:r>
      <w:r w:rsidR="00C10B9C">
        <w:rPr>
          <w:rFonts w:ascii="Calibri" w:hAnsi="Calibri"/>
          <w:sz w:val="24"/>
          <w:szCs w:val="24"/>
        </w:rPr>
        <w:t>$722</w:t>
      </w:r>
      <w:r w:rsidR="00AF6FC7">
        <w:rPr>
          <w:rFonts w:ascii="Calibri" w:hAnsi="Calibri"/>
          <w:sz w:val="24"/>
          <w:szCs w:val="24"/>
        </w:rPr>
        <w:t xml:space="preserve"> million</w:t>
      </w:r>
      <w:r w:rsidRPr="00406B94">
        <w:rPr>
          <w:rFonts w:ascii="Calibri" w:hAnsi="Calibri"/>
          <w:sz w:val="24"/>
          <w:szCs w:val="24"/>
        </w:rPr>
        <w:t xml:space="preserve"> in prime contracts</w:t>
      </w:r>
      <w:r w:rsidR="00334C2E">
        <w:rPr>
          <w:rFonts w:ascii="Calibri" w:hAnsi="Calibri"/>
          <w:sz w:val="24"/>
          <w:szCs w:val="24"/>
        </w:rPr>
        <w:t xml:space="preserve"> amounting to </w:t>
      </w:r>
      <w:r w:rsidR="00AF6FC7" w:rsidRPr="00470330">
        <w:rPr>
          <w:rFonts w:ascii="Calibri" w:hAnsi="Calibri"/>
          <w:sz w:val="24"/>
          <w:szCs w:val="24"/>
        </w:rPr>
        <w:t>17</w:t>
      </w:r>
      <w:r w:rsidR="00470330" w:rsidRPr="00470330">
        <w:rPr>
          <w:rFonts w:ascii="Calibri" w:hAnsi="Calibri"/>
          <w:sz w:val="24"/>
          <w:szCs w:val="24"/>
        </w:rPr>
        <w:t>%</w:t>
      </w:r>
      <w:r w:rsidR="00470330">
        <w:rPr>
          <w:rFonts w:ascii="Calibri" w:hAnsi="Calibri"/>
          <w:sz w:val="24"/>
          <w:szCs w:val="24"/>
        </w:rPr>
        <w:t xml:space="preserve"> </w:t>
      </w:r>
      <w:r>
        <w:rPr>
          <w:rFonts w:ascii="Calibri" w:hAnsi="Calibri"/>
          <w:sz w:val="24"/>
          <w:szCs w:val="24"/>
        </w:rPr>
        <w:t>of all such awards</w:t>
      </w:r>
      <w:r w:rsidRPr="00406B94">
        <w:rPr>
          <w:rFonts w:ascii="Calibri" w:hAnsi="Calibri"/>
          <w:sz w:val="24"/>
          <w:szCs w:val="24"/>
        </w:rPr>
        <w:t xml:space="preserve"> during this reporting period.  The prime contracts in this table include industries and awards pursuant to methods subject to the M/WBE program.</w:t>
      </w:r>
    </w:p>
    <w:p w:rsidR="00E602AF" w:rsidRDefault="00E602AF" w:rsidP="00267026">
      <w:pPr>
        <w:spacing w:after="360" w:line="360" w:lineRule="auto"/>
        <w:jc w:val="both"/>
        <w:rPr>
          <w:rFonts w:ascii="Calibri" w:hAnsi="Calibri"/>
          <w:sz w:val="24"/>
          <w:szCs w:val="24"/>
        </w:rPr>
      </w:pPr>
    </w:p>
    <w:p w:rsidR="00DA555E" w:rsidRDefault="00DA555E" w:rsidP="00267026">
      <w:pPr>
        <w:spacing w:after="360" w:line="360" w:lineRule="auto"/>
        <w:jc w:val="both"/>
        <w:rPr>
          <w:rFonts w:ascii="Calibri" w:hAnsi="Calibri"/>
          <w:sz w:val="24"/>
          <w:szCs w:val="24"/>
        </w:rPr>
      </w:pPr>
    </w:p>
    <w:p w:rsidR="00DA555E" w:rsidRDefault="00DA555E" w:rsidP="00267026">
      <w:pPr>
        <w:spacing w:after="360" w:line="360" w:lineRule="auto"/>
        <w:jc w:val="both"/>
        <w:rPr>
          <w:rFonts w:ascii="Calibri" w:hAnsi="Calibri"/>
          <w:sz w:val="24"/>
          <w:szCs w:val="24"/>
        </w:rPr>
      </w:pPr>
    </w:p>
    <w:p w:rsidR="00DA555E" w:rsidRDefault="00DA555E" w:rsidP="00267026">
      <w:pPr>
        <w:spacing w:after="360" w:line="360" w:lineRule="auto"/>
        <w:jc w:val="both"/>
        <w:rPr>
          <w:rFonts w:ascii="Calibri" w:hAnsi="Calibri"/>
          <w:sz w:val="24"/>
          <w:szCs w:val="24"/>
        </w:rPr>
      </w:pPr>
    </w:p>
    <w:p w:rsidR="00DA555E" w:rsidRDefault="00DA555E" w:rsidP="00267026">
      <w:pPr>
        <w:spacing w:after="360" w:line="360" w:lineRule="auto"/>
        <w:jc w:val="both"/>
        <w:rPr>
          <w:rFonts w:ascii="Calibri" w:hAnsi="Calibri"/>
          <w:sz w:val="24"/>
          <w:szCs w:val="24"/>
        </w:rPr>
      </w:pPr>
    </w:p>
    <w:p w:rsidR="00BE6C43" w:rsidRDefault="00BE6C43" w:rsidP="00267026">
      <w:pPr>
        <w:spacing w:after="360" w:line="360" w:lineRule="auto"/>
        <w:jc w:val="both"/>
        <w:rPr>
          <w:rFonts w:ascii="Calibri" w:hAnsi="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1176"/>
        <w:gridCol w:w="2450"/>
        <w:gridCol w:w="948"/>
        <w:gridCol w:w="1176"/>
        <w:gridCol w:w="2714"/>
      </w:tblGrid>
      <w:tr w:rsidR="00CC1FDD" w:rsidRPr="00187E55" w:rsidTr="001D6CDF">
        <w:trPr>
          <w:trHeight w:val="20"/>
        </w:trPr>
        <w:tc>
          <w:tcPr>
            <w:tcW w:w="5000" w:type="pct"/>
            <w:gridSpan w:val="6"/>
            <w:shd w:val="clear" w:color="auto" w:fill="4BACC6" w:themeFill="accent5"/>
            <w:vAlign w:val="bottom"/>
            <w:hideMark/>
          </w:tcPr>
          <w:p w:rsidR="00CC1FDD" w:rsidRPr="00187E55" w:rsidRDefault="00CC1FDD" w:rsidP="001D6CDF">
            <w:pPr>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lastRenderedPageBreak/>
              <w:t>Table 1 - FY 2017 Q1</w:t>
            </w:r>
            <w:r w:rsidRPr="00187E55">
              <w:rPr>
                <w:rFonts w:ascii="Calibri" w:eastAsia="Times New Roman" w:hAnsi="Calibri" w:cs="Times New Roman"/>
                <w:b/>
                <w:bCs/>
                <w:color w:val="000000"/>
                <w:sz w:val="24"/>
                <w:szCs w:val="24"/>
              </w:rPr>
              <w:t xml:space="preserve"> </w:t>
            </w:r>
            <w:r>
              <w:rPr>
                <w:rFonts w:ascii="Calibri" w:eastAsia="Times New Roman" w:hAnsi="Calibri" w:cs="Times New Roman"/>
                <w:b/>
                <w:bCs/>
                <w:color w:val="000000"/>
                <w:sz w:val="24"/>
                <w:szCs w:val="24"/>
              </w:rPr>
              <w:t xml:space="preserve">to Q3 </w:t>
            </w:r>
            <w:r w:rsidRPr="00187E55">
              <w:rPr>
                <w:rFonts w:ascii="Calibri" w:eastAsia="Times New Roman" w:hAnsi="Calibri" w:cs="Times New Roman"/>
                <w:b/>
                <w:bCs/>
                <w:color w:val="000000"/>
                <w:sz w:val="24"/>
                <w:szCs w:val="24"/>
              </w:rPr>
              <w:t>- Prime Contracts Utilization by Industry</w:t>
            </w:r>
          </w:p>
        </w:tc>
      </w:tr>
      <w:tr w:rsidR="00CC1FDD" w:rsidRPr="00187E55" w:rsidTr="001D6CDF">
        <w:trPr>
          <w:trHeight w:val="269"/>
        </w:trPr>
        <w:tc>
          <w:tcPr>
            <w:tcW w:w="1055" w:type="pct"/>
            <w:vMerge w:val="restart"/>
            <w:shd w:val="clear" w:color="auto" w:fill="B6DDE8" w:themeFill="accent5" w:themeFillTint="66"/>
            <w:vAlign w:val="center"/>
            <w:hideMark/>
          </w:tcPr>
          <w:p w:rsidR="00CC1FDD" w:rsidRPr="00650F1B" w:rsidRDefault="00CC1FDD" w:rsidP="001D6CDF">
            <w:pPr>
              <w:jc w:val="center"/>
              <w:rPr>
                <w:rFonts w:ascii="Calibri" w:eastAsia="Times New Roman" w:hAnsi="Calibri" w:cs="Times New Roman"/>
                <w:b/>
                <w:bCs/>
                <w:color w:val="000000"/>
              </w:rPr>
            </w:pPr>
            <w:r w:rsidRPr="00650F1B">
              <w:rPr>
                <w:rFonts w:ascii="Calibri" w:eastAsia="Times New Roman" w:hAnsi="Calibri" w:cs="Times New Roman"/>
                <w:b/>
                <w:bCs/>
                <w:color w:val="000000"/>
              </w:rPr>
              <w:t>Industry/Size Group</w:t>
            </w:r>
          </w:p>
        </w:tc>
        <w:tc>
          <w:tcPr>
            <w:tcW w:w="2132" w:type="pct"/>
            <w:gridSpan w:val="3"/>
            <w:vMerge w:val="restart"/>
            <w:shd w:val="clear" w:color="auto" w:fill="B6DDE8" w:themeFill="accent5" w:themeFillTint="66"/>
            <w:vAlign w:val="center"/>
            <w:hideMark/>
          </w:tcPr>
          <w:p w:rsidR="00CC1FDD" w:rsidRPr="00650F1B" w:rsidRDefault="00CC1FDD" w:rsidP="001D6CDF">
            <w:pPr>
              <w:jc w:val="center"/>
              <w:rPr>
                <w:rFonts w:ascii="Calibri" w:eastAsia="Times New Roman" w:hAnsi="Calibri" w:cs="Times New Roman"/>
                <w:b/>
                <w:bCs/>
                <w:color w:val="000000"/>
              </w:rPr>
            </w:pPr>
            <w:r w:rsidRPr="00650F1B">
              <w:rPr>
                <w:rFonts w:ascii="Calibri" w:eastAsia="Times New Roman" w:hAnsi="Calibri" w:cs="Times New Roman"/>
                <w:b/>
                <w:bCs/>
                <w:color w:val="000000"/>
              </w:rPr>
              <w:t>M/WBE</w:t>
            </w:r>
          </w:p>
        </w:tc>
        <w:tc>
          <w:tcPr>
            <w:tcW w:w="1813" w:type="pct"/>
            <w:gridSpan w:val="2"/>
            <w:vMerge w:val="restart"/>
            <w:shd w:val="clear" w:color="auto" w:fill="B6DDE8" w:themeFill="accent5" w:themeFillTint="66"/>
            <w:vAlign w:val="center"/>
            <w:hideMark/>
          </w:tcPr>
          <w:p w:rsidR="00CC1FDD" w:rsidRPr="00650F1B" w:rsidRDefault="00CC1FDD" w:rsidP="001D6CDF">
            <w:pPr>
              <w:jc w:val="center"/>
              <w:rPr>
                <w:rFonts w:ascii="Calibri" w:eastAsia="Times New Roman" w:hAnsi="Calibri" w:cs="Times New Roman"/>
                <w:b/>
                <w:bCs/>
                <w:color w:val="000000"/>
              </w:rPr>
            </w:pPr>
            <w:r w:rsidRPr="00650F1B">
              <w:rPr>
                <w:rFonts w:ascii="Calibri" w:eastAsia="Times New Roman" w:hAnsi="Calibri" w:cs="Times New Roman"/>
                <w:b/>
                <w:bCs/>
                <w:color w:val="000000"/>
              </w:rPr>
              <w:t>Total</w:t>
            </w:r>
          </w:p>
        </w:tc>
      </w:tr>
      <w:tr w:rsidR="00CC1FDD" w:rsidRPr="00187E55" w:rsidTr="001D6CDF">
        <w:trPr>
          <w:trHeight w:val="269"/>
        </w:trPr>
        <w:tc>
          <w:tcPr>
            <w:tcW w:w="1055" w:type="pct"/>
            <w:vMerge/>
            <w:shd w:val="clear" w:color="auto" w:fill="B6DDE8" w:themeFill="accent5" w:themeFillTint="66"/>
            <w:vAlign w:val="center"/>
            <w:hideMark/>
          </w:tcPr>
          <w:p w:rsidR="00CC1FDD" w:rsidRPr="00650F1B" w:rsidRDefault="00CC1FDD" w:rsidP="001D6CDF">
            <w:pPr>
              <w:rPr>
                <w:rFonts w:ascii="Calibri" w:eastAsia="Times New Roman" w:hAnsi="Calibri" w:cs="Times New Roman"/>
                <w:b/>
                <w:bCs/>
                <w:color w:val="000000"/>
              </w:rPr>
            </w:pPr>
          </w:p>
        </w:tc>
        <w:tc>
          <w:tcPr>
            <w:tcW w:w="2132" w:type="pct"/>
            <w:gridSpan w:val="3"/>
            <w:vMerge/>
            <w:shd w:val="clear" w:color="auto" w:fill="B6DDE8" w:themeFill="accent5" w:themeFillTint="66"/>
            <w:vAlign w:val="center"/>
            <w:hideMark/>
          </w:tcPr>
          <w:p w:rsidR="00CC1FDD" w:rsidRPr="00650F1B" w:rsidRDefault="00CC1FDD" w:rsidP="001D6CDF">
            <w:pPr>
              <w:rPr>
                <w:rFonts w:ascii="Calibri" w:eastAsia="Times New Roman" w:hAnsi="Calibri" w:cs="Times New Roman"/>
                <w:b/>
                <w:bCs/>
                <w:color w:val="000000"/>
              </w:rPr>
            </w:pPr>
          </w:p>
        </w:tc>
        <w:tc>
          <w:tcPr>
            <w:tcW w:w="1813" w:type="pct"/>
            <w:gridSpan w:val="2"/>
            <w:vMerge/>
            <w:shd w:val="clear" w:color="auto" w:fill="B6DDE8" w:themeFill="accent5" w:themeFillTint="66"/>
            <w:vAlign w:val="center"/>
            <w:hideMark/>
          </w:tcPr>
          <w:p w:rsidR="00CC1FDD" w:rsidRPr="00650F1B" w:rsidRDefault="00CC1FDD" w:rsidP="001D6CDF">
            <w:pPr>
              <w:rPr>
                <w:rFonts w:ascii="Calibri" w:eastAsia="Times New Roman" w:hAnsi="Calibri" w:cs="Times New Roman"/>
                <w:b/>
                <w:bCs/>
                <w:color w:val="000000"/>
              </w:rPr>
            </w:pPr>
          </w:p>
        </w:tc>
      </w:tr>
      <w:tr w:rsidR="00CC1FDD" w:rsidRPr="00187E55" w:rsidTr="001D6CDF">
        <w:trPr>
          <w:trHeight w:val="20"/>
        </w:trPr>
        <w:tc>
          <w:tcPr>
            <w:tcW w:w="1055" w:type="pct"/>
            <w:vMerge/>
            <w:shd w:val="clear" w:color="auto" w:fill="B6DDE8" w:themeFill="accent5" w:themeFillTint="66"/>
            <w:vAlign w:val="center"/>
            <w:hideMark/>
          </w:tcPr>
          <w:p w:rsidR="00CC1FDD" w:rsidRPr="00650F1B" w:rsidRDefault="00CC1FDD" w:rsidP="001D6CDF">
            <w:pPr>
              <w:rPr>
                <w:rFonts w:ascii="Calibri" w:eastAsia="Times New Roman" w:hAnsi="Calibri" w:cs="Times New Roman"/>
                <w:b/>
                <w:bCs/>
                <w:color w:val="000000"/>
              </w:rPr>
            </w:pPr>
          </w:p>
        </w:tc>
        <w:tc>
          <w:tcPr>
            <w:tcW w:w="548" w:type="pct"/>
            <w:shd w:val="clear" w:color="auto" w:fill="B6DDE8" w:themeFill="accent5" w:themeFillTint="66"/>
            <w:noWrap/>
            <w:vAlign w:val="center"/>
            <w:hideMark/>
          </w:tcPr>
          <w:p w:rsidR="00CC1FDD" w:rsidRPr="00650F1B" w:rsidRDefault="00CC1FDD" w:rsidP="001D6CDF">
            <w:pPr>
              <w:jc w:val="center"/>
              <w:rPr>
                <w:rFonts w:ascii="Calibri" w:eastAsia="Times New Roman" w:hAnsi="Calibri" w:cs="Times New Roman"/>
                <w:b/>
                <w:bCs/>
                <w:color w:val="000000"/>
              </w:rPr>
            </w:pPr>
            <w:r w:rsidRPr="00650F1B">
              <w:rPr>
                <w:rFonts w:ascii="Calibri" w:eastAsia="Times New Roman" w:hAnsi="Calibri" w:cs="Times New Roman"/>
                <w:b/>
                <w:bCs/>
                <w:color w:val="000000"/>
              </w:rPr>
              <w:t>Count</w:t>
            </w:r>
          </w:p>
        </w:tc>
        <w:tc>
          <w:tcPr>
            <w:tcW w:w="1142" w:type="pct"/>
            <w:shd w:val="clear" w:color="auto" w:fill="B6DDE8" w:themeFill="accent5" w:themeFillTint="66"/>
            <w:vAlign w:val="center"/>
            <w:hideMark/>
          </w:tcPr>
          <w:p w:rsidR="00CC1FDD" w:rsidRPr="00650F1B" w:rsidRDefault="00CC1FDD" w:rsidP="001D6CDF">
            <w:pPr>
              <w:jc w:val="center"/>
              <w:rPr>
                <w:rFonts w:ascii="Calibri" w:eastAsia="Times New Roman" w:hAnsi="Calibri" w:cs="Times New Roman"/>
                <w:b/>
                <w:bCs/>
                <w:color w:val="000000"/>
              </w:rPr>
            </w:pPr>
            <w:r w:rsidRPr="00650F1B">
              <w:rPr>
                <w:rFonts w:ascii="Calibri" w:eastAsia="Times New Roman" w:hAnsi="Calibri" w:cs="Times New Roman"/>
                <w:b/>
                <w:bCs/>
                <w:color w:val="000000"/>
              </w:rPr>
              <w:t>Contract Value</w:t>
            </w:r>
          </w:p>
        </w:tc>
        <w:tc>
          <w:tcPr>
            <w:tcW w:w="442" w:type="pct"/>
            <w:shd w:val="clear" w:color="auto" w:fill="B6DDE8" w:themeFill="accent5" w:themeFillTint="66"/>
            <w:vAlign w:val="center"/>
            <w:hideMark/>
          </w:tcPr>
          <w:p w:rsidR="00CC1FDD" w:rsidRPr="00650F1B" w:rsidRDefault="00CC1FDD" w:rsidP="001D6CDF">
            <w:pPr>
              <w:jc w:val="center"/>
              <w:rPr>
                <w:rFonts w:ascii="Calibri" w:eastAsia="Times New Roman" w:hAnsi="Calibri" w:cs="Times New Roman"/>
                <w:b/>
                <w:bCs/>
                <w:color w:val="000000"/>
              </w:rPr>
            </w:pPr>
            <w:r w:rsidRPr="00650F1B">
              <w:rPr>
                <w:rFonts w:ascii="Calibri" w:eastAsia="Times New Roman" w:hAnsi="Calibri" w:cs="Times New Roman"/>
                <w:b/>
                <w:bCs/>
                <w:color w:val="000000"/>
              </w:rPr>
              <w:t>%</w:t>
            </w:r>
          </w:p>
        </w:tc>
        <w:tc>
          <w:tcPr>
            <w:tcW w:w="548" w:type="pct"/>
            <w:shd w:val="clear" w:color="auto" w:fill="B6DDE8" w:themeFill="accent5" w:themeFillTint="66"/>
            <w:noWrap/>
            <w:vAlign w:val="center"/>
            <w:hideMark/>
          </w:tcPr>
          <w:p w:rsidR="00CC1FDD" w:rsidRPr="00650F1B" w:rsidRDefault="00CC1FDD" w:rsidP="001D6CDF">
            <w:pPr>
              <w:jc w:val="center"/>
              <w:rPr>
                <w:rFonts w:ascii="Calibri" w:eastAsia="Times New Roman" w:hAnsi="Calibri" w:cs="Times New Roman"/>
                <w:b/>
                <w:bCs/>
                <w:color w:val="000000"/>
              </w:rPr>
            </w:pPr>
            <w:r w:rsidRPr="00650F1B">
              <w:rPr>
                <w:rFonts w:ascii="Calibri" w:eastAsia="Times New Roman" w:hAnsi="Calibri" w:cs="Times New Roman"/>
                <w:b/>
                <w:bCs/>
                <w:color w:val="000000"/>
              </w:rPr>
              <w:t>Count</w:t>
            </w:r>
          </w:p>
        </w:tc>
        <w:tc>
          <w:tcPr>
            <w:tcW w:w="1265" w:type="pct"/>
            <w:shd w:val="clear" w:color="auto" w:fill="B6DDE8" w:themeFill="accent5" w:themeFillTint="66"/>
            <w:vAlign w:val="center"/>
            <w:hideMark/>
          </w:tcPr>
          <w:p w:rsidR="00CC1FDD" w:rsidRPr="00650F1B" w:rsidRDefault="00CC1FDD" w:rsidP="001D6CDF">
            <w:pPr>
              <w:jc w:val="center"/>
              <w:rPr>
                <w:rFonts w:ascii="Calibri" w:eastAsia="Times New Roman" w:hAnsi="Calibri" w:cs="Times New Roman"/>
                <w:b/>
                <w:bCs/>
                <w:color w:val="000000"/>
              </w:rPr>
            </w:pPr>
            <w:r w:rsidRPr="00650F1B">
              <w:rPr>
                <w:rFonts w:ascii="Calibri" w:eastAsia="Times New Roman" w:hAnsi="Calibri" w:cs="Times New Roman"/>
                <w:b/>
                <w:bCs/>
                <w:color w:val="000000"/>
              </w:rPr>
              <w:t>Contract Value</w:t>
            </w:r>
          </w:p>
        </w:tc>
      </w:tr>
      <w:tr w:rsidR="00CC1FDD" w:rsidRPr="00187E55" w:rsidTr="001D6CDF">
        <w:trPr>
          <w:trHeight w:val="20"/>
        </w:trPr>
        <w:tc>
          <w:tcPr>
            <w:tcW w:w="1055" w:type="pct"/>
            <w:shd w:val="clear" w:color="000000" w:fill="DAEEF3"/>
            <w:noWrap/>
            <w:vAlign w:val="bottom"/>
            <w:hideMark/>
          </w:tcPr>
          <w:p w:rsidR="00CC1FDD" w:rsidRPr="00650F1B" w:rsidRDefault="00CC1FDD" w:rsidP="001D6CDF">
            <w:pPr>
              <w:rPr>
                <w:rFonts w:ascii="Calibri" w:eastAsia="Times New Roman" w:hAnsi="Calibri" w:cs="Times New Roman"/>
                <w:b/>
                <w:bCs/>
                <w:color w:val="000000"/>
              </w:rPr>
            </w:pPr>
            <w:r w:rsidRPr="00650F1B">
              <w:rPr>
                <w:rFonts w:ascii="Calibri" w:eastAsia="Times New Roman" w:hAnsi="Calibri" w:cs="Times New Roman"/>
                <w:b/>
                <w:bCs/>
                <w:color w:val="000000"/>
              </w:rPr>
              <w:t>Construction Services</w:t>
            </w:r>
            <w:r>
              <w:rPr>
                <w:rStyle w:val="FootnoteReference"/>
                <w:rFonts w:ascii="Calibri" w:eastAsia="Times New Roman" w:hAnsi="Calibri" w:cs="Times New Roman"/>
                <w:b/>
                <w:bCs/>
                <w:color w:val="000000"/>
              </w:rPr>
              <w:footnoteReference w:id="2"/>
            </w:r>
          </w:p>
        </w:tc>
        <w:tc>
          <w:tcPr>
            <w:tcW w:w="548" w:type="pct"/>
            <w:shd w:val="clear" w:color="000000" w:fill="DAEEF3"/>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2,508</w:t>
            </w:r>
          </w:p>
        </w:tc>
        <w:tc>
          <w:tcPr>
            <w:tcW w:w="1142" w:type="pct"/>
            <w:shd w:val="clear" w:color="000000" w:fill="DAEEF3"/>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$173,258,661</w:t>
            </w:r>
          </w:p>
        </w:tc>
        <w:tc>
          <w:tcPr>
            <w:tcW w:w="442" w:type="pct"/>
            <w:shd w:val="clear" w:color="000000" w:fill="DAEEF3"/>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10%</w:t>
            </w:r>
          </w:p>
        </w:tc>
        <w:tc>
          <w:tcPr>
            <w:tcW w:w="548" w:type="pct"/>
            <w:shd w:val="clear" w:color="000000" w:fill="DAEEF3"/>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5,970</w:t>
            </w:r>
          </w:p>
        </w:tc>
        <w:tc>
          <w:tcPr>
            <w:tcW w:w="1265" w:type="pct"/>
            <w:shd w:val="clear" w:color="000000" w:fill="DAEEF3"/>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$1,699,518,707</w:t>
            </w:r>
          </w:p>
        </w:tc>
      </w:tr>
      <w:tr w:rsidR="00CC1FDD" w:rsidRPr="00187E55" w:rsidTr="001D6CDF">
        <w:trPr>
          <w:trHeight w:val="20"/>
        </w:trPr>
        <w:tc>
          <w:tcPr>
            <w:tcW w:w="1055" w:type="pct"/>
            <w:shd w:val="clear" w:color="auto" w:fill="auto"/>
            <w:vAlign w:val="bottom"/>
            <w:hideMark/>
          </w:tcPr>
          <w:p w:rsidR="00CC1FDD" w:rsidRPr="00650F1B" w:rsidRDefault="00CC1FDD" w:rsidP="001D6CDF">
            <w:pPr>
              <w:rPr>
                <w:rFonts w:ascii="Calibri" w:eastAsia="Times New Roman" w:hAnsi="Calibri" w:cs="Times New Roman"/>
                <w:color w:val="000000"/>
              </w:rPr>
            </w:pPr>
            <w:r w:rsidRPr="00650F1B">
              <w:rPr>
                <w:rFonts w:ascii="Calibri" w:eastAsia="Times New Roman" w:hAnsi="Calibri" w:cs="Times New Roman"/>
                <w:color w:val="000000"/>
              </w:rPr>
              <w:t>Micro Purchase</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2,430</w:t>
            </w:r>
          </w:p>
        </w:tc>
        <w:tc>
          <w:tcPr>
            <w:tcW w:w="11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$3,245,018</w:t>
            </w:r>
          </w:p>
        </w:tc>
        <w:tc>
          <w:tcPr>
            <w:tcW w:w="4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44%</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5,694</w:t>
            </w:r>
          </w:p>
        </w:tc>
        <w:tc>
          <w:tcPr>
            <w:tcW w:w="1265"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$7,324,584</w:t>
            </w:r>
          </w:p>
        </w:tc>
      </w:tr>
      <w:tr w:rsidR="00CC1FDD" w:rsidRPr="00187E55" w:rsidTr="001D6CDF">
        <w:trPr>
          <w:trHeight w:val="20"/>
        </w:trPr>
        <w:tc>
          <w:tcPr>
            <w:tcW w:w="1055" w:type="pct"/>
            <w:shd w:val="clear" w:color="auto" w:fill="auto"/>
            <w:vAlign w:val="bottom"/>
            <w:hideMark/>
          </w:tcPr>
          <w:p w:rsidR="00CC1FDD" w:rsidRPr="00650F1B" w:rsidRDefault="00CC1FDD" w:rsidP="001D6CDF">
            <w:pPr>
              <w:rPr>
                <w:rFonts w:ascii="Calibri" w:eastAsia="Times New Roman" w:hAnsi="Calibri" w:cs="Times New Roman"/>
                <w:color w:val="000000"/>
              </w:rPr>
            </w:pPr>
            <w:r w:rsidRPr="00650F1B">
              <w:rPr>
                <w:rFonts w:ascii="Calibri" w:eastAsia="Times New Roman" w:hAnsi="Calibri" w:cs="Times New Roman"/>
                <w:color w:val="000000"/>
              </w:rPr>
              <w:t>Small Purchase</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10</w:t>
            </w:r>
          </w:p>
        </w:tc>
        <w:tc>
          <w:tcPr>
            <w:tcW w:w="11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$733,200</w:t>
            </w:r>
          </w:p>
        </w:tc>
        <w:tc>
          <w:tcPr>
            <w:tcW w:w="4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46%</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23</w:t>
            </w:r>
          </w:p>
        </w:tc>
        <w:tc>
          <w:tcPr>
            <w:tcW w:w="1265"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$1,604,167</w:t>
            </w:r>
          </w:p>
        </w:tc>
      </w:tr>
      <w:tr w:rsidR="00CC1FDD" w:rsidRPr="00187E55" w:rsidTr="001D6CDF">
        <w:trPr>
          <w:trHeight w:val="20"/>
        </w:trPr>
        <w:tc>
          <w:tcPr>
            <w:tcW w:w="1055" w:type="pct"/>
            <w:shd w:val="clear" w:color="auto" w:fill="auto"/>
            <w:vAlign w:val="bottom"/>
            <w:hideMark/>
          </w:tcPr>
          <w:p w:rsidR="00CC1FDD" w:rsidRPr="00650F1B" w:rsidRDefault="00CC1FDD" w:rsidP="001D6CDF">
            <w:pPr>
              <w:rPr>
                <w:rFonts w:ascii="Calibri" w:eastAsia="Times New Roman" w:hAnsi="Calibri" w:cs="Times New Roman"/>
                <w:color w:val="000000"/>
              </w:rPr>
            </w:pPr>
            <w:r w:rsidRPr="00650F1B">
              <w:rPr>
                <w:rFonts w:ascii="Calibri" w:eastAsia="Times New Roman" w:hAnsi="Calibri" w:cs="Times New Roman"/>
                <w:color w:val="000000"/>
              </w:rPr>
              <w:t>&gt;$100K, &lt;=$1M</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18</w:t>
            </w:r>
          </w:p>
        </w:tc>
        <w:tc>
          <w:tcPr>
            <w:tcW w:w="11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$11,324,151</w:t>
            </w:r>
          </w:p>
        </w:tc>
        <w:tc>
          <w:tcPr>
            <w:tcW w:w="4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37%</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50</w:t>
            </w:r>
          </w:p>
        </w:tc>
        <w:tc>
          <w:tcPr>
            <w:tcW w:w="1265"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$30,447,807</w:t>
            </w:r>
          </w:p>
        </w:tc>
      </w:tr>
      <w:tr w:rsidR="00CC1FDD" w:rsidRPr="00187E55" w:rsidTr="001D6CDF">
        <w:trPr>
          <w:trHeight w:val="20"/>
        </w:trPr>
        <w:tc>
          <w:tcPr>
            <w:tcW w:w="1055" w:type="pct"/>
            <w:shd w:val="clear" w:color="auto" w:fill="auto"/>
            <w:vAlign w:val="bottom"/>
            <w:hideMark/>
          </w:tcPr>
          <w:p w:rsidR="00CC1FDD" w:rsidRPr="00650F1B" w:rsidRDefault="00CC1FDD" w:rsidP="001D6CDF">
            <w:pPr>
              <w:rPr>
                <w:rFonts w:ascii="Calibri" w:eastAsia="Times New Roman" w:hAnsi="Calibri" w:cs="Times New Roman"/>
                <w:color w:val="000000"/>
              </w:rPr>
            </w:pPr>
            <w:r w:rsidRPr="00650F1B">
              <w:rPr>
                <w:rFonts w:ascii="Calibri" w:eastAsia="Times New Roman" w:hAnsi="Calibri" w:cs="Times New Roman"/>
                <w:color w:val="000000"/>
              </w:rPr>
              <w:t>&gt;$1M, &lt;=$5M</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42</w:t>
            </w:r>
          </w:p>
        </w:tc>
        <w:tc>
          <w:tcPr>
            <w:tcW w:w="11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$99,438,581</w:t>
            </w:r>
          </w:p>
        </w:tc>
        <w:tc>
          <w:tcPr>
            <w:tcW w:w="4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27%</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128</w:t>
            </w:r>
          </w:p>
        </w:tc>
        <w:tc>
          <w:tcPr>
            <w:tcW w:w="1265"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$366,716,043</w:t>
            </w:r>
          </w:p>
        </w:tc>
      </w:tr>
      <w:tr w:rsidR="00CC1FDD" w:rsidRPr="00187E55" w:rsidTr="001D6CDF">
        <w:trPr>
          <w:trHeight w:val="20"/>
        </w:trPr>
        <w:tc>
          <w:tcPr>
            <w:tcW w:w="1055" w:type="pct"/>
            <w:shd w:val="clear" w:color="auto" w:fill="auto"/>
            <w:vAlign w:val="bottom"/>
            <w:hideMark/>
          </w:tcPr>
          <w:p w:rsidR="00CC1FDD" w:rsidRPr="00650F1B" w:rsidRDefault="00CC1FDD" w:rsidP="001D6CDF">
            <w:pPr>
              <w:rPr>
                <w:rFonts w:ascii="Calibri" w:eastAsia="Times New Roman" w:hAnsi="Calibri" w:cs="Times New Roman"/>
                <w:color w:val="000000"/>
              </w:rPr>
            </w:pPr>
            <w:r w:rsidRPr="00650F1B">
              <w:rPr>
                <w:rFonts w:ascii="Calibri" w:eastAsia="Times New Roman" w:hAnsi="Calibri" w:cs="Times New Roman"/>
                <w:color w:val="000000"/>
              </w:rPr>
              <w:t>&gt;$5M, &lt;=$25M</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8</w:t>
            </w:r>
          </w:p>
        </w:tc>
        <w:tc>
          <w:tcPr>
            <w:tcW w:w="11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$58,517,711</w:t>
            </w:r>
          </w:p>
        </w:tc>
        <w:tc>
          <w:tcPr>
            <w:tcW w:w="4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9%</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63</w:t>
            </w:r>
          </w:p>
        </w:tc>
        <w:tc>
          <w:tcPr>
            <w:tcW w:w="1265"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$679,982,677</w:t>
            </w:r>
          </w:p>
        </w:tc>
      </w:tr>
      <w:tr w:rsidR="00CC1FDD" w:rsidRPr="00187E55" w:rsidTr="001D6CDF">
        <w:trPr>
          <w:trHeight w:val="20"/>
        </w:trPr>
        <w:tc>
          <w:tcPr>
            <w:tcW w:w="1055" w:type="pct"/>
            <w:shd w:val="clear" w:color="auto" w:fill="auto"/>
            <w:vAlign w:val="bottom"/>
            <w:hideMark/>
          </w:tcPr>
          <w:p w:rsidR="00CC1FDD" w:rsidRPr="00650F1B" w:rsidRDefault="00CC1FDD" w:rsidP="001D6CDF">
            <w:pPr>
              <w:rPr>
                <w:rFonts w:ascii="Calibri" w:eastAsia="Times New Roman" w:hAnsi="Calibri" w:cs="Times New Roman"/>
                <w:color w:val="000000"/>
              </w:rPr>
            </w:pPr>
            <w:r w:rsidRPr="00650F1B">
              <w:rPr>
                <w:rFonts w:ascii="Calibri" w:eastAsia="Times New Roman" w:hAnsi="Calibri" w:cs="Times New Roman"/>
                <w:color w:val="000000"/>
              </w:rPr>
              <w:t>&gt;$25M</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0</w:t>
            </w:r>
          </w:p>
        </w:tc>
        <w:tc>
          <w:tcPr>
            <w:tcW w:w="11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$0</w:t>
            </w:r>
          </w:p>
        </w:tc>
        <w:tc>
          <w:tcPr>
            <w:tcW w:w="4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0%</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12</w:t>
            </w:r>
          </w:p>
        </w:tc>
        <w:tc>
          <w:tcPr>
            <w:tcW w:w="1265"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$613,443,428</w:t>
            </w:r>
          </w:p>
        </w:tc>
      </w:tr>
      <w:tr w:rsidR="00CC1FDD" w:rsidRPr="00187E55" w:rsidTr="001D6CDF">
        <w:trPr>
          <w:trHeight w:val="20"/>
        </w:trPr>
        <w:tc>
          <w:tcPr>
            <w:tcW w:w="1055" w:type="pct"/>
            <w:shd w:val="clear" w:color="000000" w:fill="DAEEF3"/>
            <w:noWrap/>
            <w:vAlign w:val="bottom"/>
            <w:hideMark/>
          </w:tcPr>
          <w:p w:rsidR="00CC1FDD" w:rsidRPr="00650F1B" w:rsidRDefault="00CC1FDD" w:rsidP="001D6CDF">
            <w:pPr>
              <w:rPr>
                <w:rFonts w:ascii="Calibri" w:eastAsia="Times New Roman" w:hAnsi="Calibri" w:cs="Times New Roman"/>
                <w:b/>
                <w:bCs/>
                <w:color w:val="000000"/>
              </w:rPr>
            </w:pPr>
            <w:r w:rsidRPr="00650F1B">
              <w:rPr>
                <w:rFonts w:ascii="Calibri" w:eastAsia="Times New Roman" w:hAnsi="Calibri" w:cs="Times New Roman"/>
                <w:b/>
                <w:bCs/>
                <w:color w:val="000000"/>
              </w:rPr>
              <w:t>Goods</w:t>
            </w:r>
          </w:p>
        </w:tc>
        <w:tc>
          <w:tcPr>
            <w:tcW w:w="548" w:type="pct"/>
            <w:shd w:val="clear" w:color="auto" w:fill="DAEEF3" w:themeFill="accent5" w:themeFillTint="33"/>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3,244</w:t>
            </w:r>
          </w:p>
        </w:tc>
        <w:tc>
          <w:tcPr>
            <w:tcW w:w="1142" w:type="pct"/>
            <w:shd w:val="clear" w:color="auto" w:fill="DAEEF3" w:themeFill="accent5" w:themeFillTint="33"/>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$29,435,780</w:t>
            </w:r>
          </w:p>
        </w:tc>
        <w:tc>
          <w:tcPr>
            <w:tcW w:w="442" w:type="pct"/>
            <w:shd w:val="clear" w:color="auto" w:fill="DAEEF3" w:themeFill="accent5" w:themeFillTint="33"/>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45%</w:t>
            </w:r>
          </w:p>
        </w:tc>
        <w:tc>
          <w:tcPr>
            <w:tcW w:w="548" w:type="pct"/>
            <w:shd w:val="clear" w:color="auto" w:fill="DAEEF3" w:themeFill="accent5" w:themeFillTint="33"/>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7,204</w:t>
            </w:r>
          </w:p>
        </w:tc>
        <w:tc>
          <w:tcPr>
            <w:tcW w:w="1265" w:type="pct"/>
            <w:shd w:val="clear" w:color="auto" w:fill="DAEEF3" w:themeFill="accent5" w:themeFillTint="33"/>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$65,448,054</w:t>
            </w:r>
          </w:p>
        </w:tc>
      </w:tr>
      <w:tr w:rsidR="00CC1FDD" w:rsidRPr="00187E55" w:rsidTr="001D6CDF">
        <w:trPr>
          <w:trHeight w:val="20"/>
        </w:trPr>
        <w:tc>
          <w:tcPr>
            <w:tcW w:w="1055" w:type="pct"/>
            <w:shd w:val="clear" w:color="auto" w:fill="auto"/>
            <w:vAlign w:val="bottom"/>
            <w:hideMark/>
          </w:tcPr>
          <w:p w:rsidR="00CC1FDD" w:rsidRPr="00650F1B" w:rsidRDefault="00CC1FDD" w:rsidP="001D6CDF">
            <w:pPr>
              <w:rPr>
                <w:rFonts w:ascii="Calibri" w:eastAsia="Times New Roman" w:hAnsi="Calibri" w:cs="Times New Roman"/>
                <w:color w:val="000000"/>
              </w:rPr>
            </w:pPr>
            <w:r w:rsidRPr="00650F1B">
              <w:rPr>
                <w:rFonts w:ascii="Calibri" w:eastAsia="Times New Roman" w:hAnsi="Calibri" w:cs="Times New Roman"/>
                <w:color w:val="000000"/>
              </w:rPr>
              <w:t>Micro Purchase</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3,043</w:t>
            </w:r>
          </w:p>
        </w:tc>
        <w:tc>
          <w:tcPr>
            <w:tcW w:w="11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$17,938,871</w:t>
            </w:r>
          </w:p>
        </w:tc>
        <w:tc>
          <w:tcPr>
            <w:tcW w:w="4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45%</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6,772</w:t>
            </w:r>
          </w:p>
        </w:tc>
        <w:tc>
          <w:tcPr>
            <w:tcW w:w="1265"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$39,912,726</w:t>
            </w:r>
          </w:p>
        </w:tc>
      </w:tr>
      <w:tr w:rsidR="00CC1FDD" w:rsidRPr="00187E55" w:rsidTr="001D6CDF">
        <w:trPr>
          <w:trHeight w:val="20"/>
        </w:trPr>
        <w:tc>
          <w:tcPr>
            <w:tcW w:w="1055" w:type="pct"/>
            <w:shd w:val="clear" w:color="auto" w:fill="auto"/>
            <w:vAlign w:val="bottom"/>
            <w:hideMark/>
          </w:tcPr>
          <w:p w:rsidR="00CC1FDD" w:rsidRPr="00650F1B" w:rsidRDefault="00CC1FDD" w:rsidP="001D6CDF">
            <w:pPr>
              <w:rPr>
                <w:rFonts w:ascii="Calibri" w:eastAsia="Times New Roman" w:hAnsi="Calibri" w:cs="Times New Roman"/>
                <w:color w:val="000000"/>
              </w:rPr>
            </w:pPr>
            <w:r w:rsidRPr="00650F1B">
              <w:rPr>
                <w:rFonts w:ascii="Calibri" w:eastAsia="Times New Roman" w:hAnsi="Calibri" w:cs="Times New Roman"/>
                <w:color w:val="000000"/>
              </w:rPr>
              <w:t>Small Purchase</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201</w:t>
            </w:r>
          </w:p>
        </w:tc>
        <w:tc>
          <w:tcPr>
            <w:tcW w:w="11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$11,496,909</w:t>
            </w:r>
          </w:p>
        </w:tc>
        <w:tc>
          <w:tcPr>
            <w:tcW w:w="4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45%</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432</w:t>
            </w:r>
          </w:p>
        </w:tc>
        <w:tc>
          <w:tcPr>
            <w:tcW w:w="1265"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$25,535,328</w:t>
            </w:r>
          </w:p>
        </w:tc>
      </w:tr>
      <w:tr w:rsidR="00CC1FDD" w:rsidRPr="00187E55" w:rsidTr="001D6CDF">
        <w:trPr>
          <w:trHeight w:val="20"/>
        </w:trPr>
        <w:tc>
          <w:tcPr>
            <w:tcW w:w="1055" w:type="pct"/>
            <w:shd w:val="clear" w:color="000000" w:fill="DAEEF3"/>
            <w:noWrap/>
            <w:vAlign w:val="center"/>
            <w:hideMark/>
          </w:tcPr>
          <w:p w:rsidR="00CC1FDD" w:rsidRPr="006832B1" w:rsidRDefault="00CC1FDD" w:rsidP="001D6CDF">
            <w:pPr>
              <w:rPr>
                <w:rFonts w:ascii="Calibri" w:eastAsia="Times New Roman" w:hAnsi="Calibri" w:cs="Times New Roman"/>
                <w:b/>
                <w:bCs/>
                <w:color w:val="000000"/>
              </w:rPr>
            </w:pPr>
            <w:r w:rsidRPr="006832B1">
              <w:rPr>
                <w:rFonts w:ascii="Calibri" w:eastAsia="Times New Roman" w:hAnsi="Calibri" w:cs="Times New Roman"/>
                <w:b/>
                <w:bCs/>
                <w:color w:val="000000"/>
              </w:rPr>
              <w:t>Professional Services</w:t>
            </w:r>
          </w:p>
        </w:tc>
        <w:tc>
          <w:tcPr>
            <w:tcW w:w="548" w:type="pct"/>
            <w:shd w:val="clear" w:color="auto" w:fill="DAEEF3" w:themeFill="accent5" w:themeFillTint="33"/>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251</w:t>
            </w:r>
          </w:p>
        </w:tc>
        <w:tc>
          <w:tcPr>
            <w:tcW w:w="1142" w:type="pct"/>
            <w:shd w:val="clear" w:color="auto" w:fill="DAEEF3" w:themeFill="accent5" w:themeFillTint="33"/>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$487,216,469</w:t>
            </w:r>
          </w:p>
        </w:tc>
        <w:tc>
          <w:tcPr>
            <w:tcW w:w="442" w:type="pct"/>
            <w:shd w:val="clear" w:color="auto" w:fill="DAEEF3" w:themeFill="accent5" w:themeFillTint="33"/>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25%</w:t>
            </w:r>
          </w:p>
        </w:tc>
        <w:tc>
          <w:tcPr>
            <w:tcW w:w="548" w:type="pct"/>
            <w:shd w:val="clear" w:color="auto" w:fill="DAEEF3" w:themeFill="accent5" w:themeFillTint="33"/>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1,399</w:t>
            </w:r>
          </w:p>
        </w:tc>
        <w:tc>
          <w:tcPr>
            <w:tcW w:w="1265" w:type="pct"/>
            <w:shd w:val="clear" w:color="auto" w:fill="DAEEF3" w:themeFill="accent5" w:themeFillTint="33"/>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$1,982,142,092</w:t>
            </w:r>
          </w:p>
        </w:tc>
      </w:tr>
      <w:tr w:rsidR="00CC1FDD" w:rsidRPr="00187E55" w:rsidTr="001D6CDF">
        <w:trPr>
          <w:trHeight w:val="20"/>
        </w:trPr>
        <w:tc>
          <w:tcPr>
            <w:tcW w:w="1055" w:type="pct"/>
            <w:shd w:val="clear" w:color="auto" w:fill="auto"/>
            <w:vAlign w:val="bottom"/>
            <w:hideMark/>
          </w:tcPr>
          <w:p w:rsidR="00CC1FDD" w:rsidRPr="006832B1" w:rsidRDefault="00CC1FDD" w:rsidP="001D6CDF">
            <w:pPr>
              <w:rPr>
                <w:rFonts w:ascii="Calibri" w:eastAsia="Times New Roman" w:hAnsi="Calibri" w:cs="Times New Roman"/>
                <w:color w:val="000000"/>
              </w:rPr>
            </w:pPr>
            <w:r w:rsidRPr="006832B1">
              <w:rPr>
                <w:rFonts w:ascii="Calibri" w:eastAsia="Times New Roman" w:hAnsi="Calibri" w:cs="Times New Roman"/>
                <w:color w:val="000000"/>
              </w:rPr>
              <w:t>Micro Purchase</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158</w:t>
            </w:r>
          </w:p>
        </w:tc>
        <w:tc>
          <w:tcPr>
            <w:tcW w:w="11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$1,567,695</w:t>
            </w:r>
          </w:p>
        </w:tc>
        <w:tc>
          <w:tcPr>
            <w:tcW w:w="4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18%</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1,094</w:t>
            </w:r>
          </w:p>
        </w:tc>
        <w:tc>
          <w:tcPr>
            <w:tcW w:w="1265"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$8,834,221</w:t>
            </w:r>
          </w:p>
        </w:tc>
      </w:tr>
      <w:tr w:rsidR="00CC1FDD" w:rsidRPr="00187E55" w:rsidTr="001D6CDF">
        <w:trPr>
          <w:trHeight w:val="20"/>
        </w:trPr>
        <w:tc>
          <w:tcPr>
            <w:tcW w:w="1055" w:type="pct"/>
            <w:shd w:val="clear" w:color="auto" w:fill="auto"/>
            <w:vAlign w:val="bottom"/>
            <w:hideMark/>
          </w:tcPr>
          <w:p w:rsidR="00CC1FDD" w:rsidRPr="006832B1" w:rsidRDefault="00CC1FDD" w:rsidP="001D6CDF">
            <w:pPr>
              <w:rPr>
                <w:rFonts w:ascii="Calibri" w:eastAsia="Times New Roman" w:hAnsi="Calibri" w:cs="Times New Roman"/>
                <w:color w:val="000000"/>
              </w:rPr>
            </w:pPr>
            <w:r w:rsidRPr="006832B1">
              <w:rPr>
                <w:rFonts w:ascii="Calibri" w:eastAsia="Times New Roman" w:hAnsi="Calibri" w:cs="Times New Roman"/>
                <w:color w:val="000000"/>
              </w:rPr>
              <w:t>Small Purchase</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37</w:t>
            </w:r>
          </w:p>
        </w:tc>
        <w:tc>
          <w:tcPr>
            <w:tcW w:w="11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$2,675,977</w:t>
            </w:r>
          </w:p>
        </w:tc>
        <w:tc>
          <w:tcPr>
            <w:tcW w:w="4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42%</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90</w:t>
            </w:r>
          </w:p>
        </w:tc>
        <w:tc>
          <w:tcPr>
            <w:tcW w:w="1265"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$6,317,775</w:t>
            </w:r>
          </w:p>
        </w:tc>
      </w:tr>
      <w:tr w:rsidR="00CC1FDD" w:rsidRPr="00187E55" w:rsidTr="001D6CDF">
        <w:trPr>
          <w:trHeight w:val="20"/>
        </w:trPr>
        <w:tc>
          <w:tcPr>
            <w:tcW w:w="1055" w:type="pct"/>
            <w:shd w:val="clear" w:color="auto" w:fill="auto"/>
            <w:vAlign w:val="bottom"/>
            <w:hideMark/>
          </w:tcPr>
          <w:p w:rsidR="00CC1FDD" w:rsidRPr="006832B1" w:rsidRDefault="00CC1FDD" w:rsidP="001D6CDF">
            <w:pPr>
              <w:rPr>
                <w:rFonts w:ascii="Calibri" w:eastAsia="Times New Roman" w:hAnsi="Calibri" w:cs="Times New Roman"/>
                <w:color w:val="000000"/>
              </w:rPr>
            </w:pPr>
            <w:r w:rsidRPr="006832B1">
              <w:rPr>
                <w:rFonts w:ascii="Calibri" w:eastAsia="Times New Roman" w:hAnsi="Calibri" w:cs="Times New Roman"/>
                <w:color w:val="000000"/>
              </w:rPr>
              <w:t>&gt;$100K, &lt;=$1M</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9</w:t>
            </w:r>
          </w:p>
        </w:tc>
        <w:tc>
          <w:tcPr>
            <w:tcW w:w="11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$3,700,527</w:t>
            </w:r>
          </w:p>
        </w:tc>
        <w:tc>
          <w:tcPr>
            <w:tcW w:w="4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13%</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63</w:t>
            </w:r>
          </w:p>
        </w:tc>
        <w:tc>
          <w:tcPr>
            <w:tcW w:w="1265"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$27,603,540</w:t>
            </w:r>
          </w:p>
        </w:tc>
      </w:tr>
      <w:tr w:rsidR="00CC1FDD" w:rsidRPr="00187E55" w:rsidTr="001D6CDF">
        <w:trPr>
          <w:trHeight w:val="20"/>
        </w:trPr>
        <w:tc>
          <w:tcPr>
            <w:tcW w:w="1055" w:type="pct"/>
            <w:shd w:val="clear" w:color="auto" w:fill="auto"/>
            <w:vAlign w:val="bottom"/>
            <w:hideMark/>
          </w:tcPr>
          <w:p w:rsidR="00CC1FDD" w:rsidRPr="006832B1" w:rsidRDefault="00CC1FDD" w:rsidP="001D6CDF">
            <w:pPr>
              <w:rPr>
                <w:rFonts w:ascii="Calibri" w:eastAsia="Times New Roman" w:hAnsi="Calibri" w:cs="Times New Roman"/>
                <w:color w:val="000000"/>
              </w:rPr>
            </w:pPr>
            <w:r w:rsidRPr="006832B1">
              <w:rPr>
                <w:rFonts w:ascii="Calibri" w:eastAsia="Times New Roman" w:hAnsi="Calibri" w:cs="Times New Roman"/>
                <w:color w:val="000000"/>
              </w:rPr>
              <w:t>&gt;$1M, &lt;=$5M</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18</w:t>
            </w:r>
          </w:p>
        </w:tc>
        <w:tc>
          <w:tcPr>
            <w:tcW w:w="11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$76,272,271</w:t>
            </w:r>
          </w:p>
        </w:tc>
        <w:tc>
          <w:tcPr>
            <w:tcW w:w="4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46%</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47</w:t>
            </w:r>
          </w:p>
        </w:tc>
        <w:tc>
          <w:tcPr>
            <w:tcW w:w="1265"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$166,359,536</w:t>
            </w:r>
          </w:p>
        </w:tc>
      </w:tr>
      <w:tr w:rsidR="00CC1FDD" w:rsidRPr="00187E55" w:rsidTr="001D6CDF">
        <w:trPr>
          <w:trHeight w:val="20"/>
        </w:trPr>
        <w:tc>
          <w:tcPr>
            <w:tcW w:w="1055" w:type="pct"/>
            <w:shd w:val="clear" w:color="auto" w:fill="auto"/>
            <w:vAlign w:val="bottom"/>
            <w:hideMark/>
          </w:tcPr>
          <w:p w:rsidR="00CC1FDD" w:rsidRPr="006832B1" w:rsidRDefault="00CC1FDD" w:rsidP="001D6CDF">
            <w:pPr>
              <w:rPr>
                <w:rFonts w:ascii="Calibri" w:eastAsia="Times New Roman" w:hAnsi="Calibri" w:cs="Times New Roman"/>
                <w:color w:val="000000"/>
              </w:rPr>
            </w:pPr>
            <w:r w:rsidRPr="006832B1">
              <w:rPr>
                <w:rFonts w:ascii="Calibri" w:eastAsia="Times New Roman" w:hAnsi="Calibri" w:cs="Times New Roman"/>
                <w:color w:val="000000"/>
              </w:rPr>
              <w:t>&gt;$5M, &lt;=$25M</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29</w:t>
            </w:r>
          </w:p>
        </w:tc>
        <w:tc>
          <w:tcPr>
            <w:tcW w:w="11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$403,000,000</w:t>
            </w:r>
          </w:p>
        </w:tc>
        <w:tc>
          <w:tcPr>
            <w:tcW w:w="4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37%</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89</w:t>
            </w:r>
          </w:p>
        </w:tc>
        <w:tc>
          <w:tcPr>
            <w:tcW w:w="1265"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$1,100,056,516</w:t>
            </w:r>
          </w:p>
        </w:tc>
      </w:tr>
      <w:tr w:rsidR="00CC1FDD" w:rsidRPr="00187E55" w:rsidTr="001D6CDF">
        <w:trPr>
          <w:trHeight w:val="20"/>
        </w:trPr>
        <w:tc>
          <w:tcPr>
            <w:tcW w:w="1055" w:type="pct"/>
            <w:shd w:val="clear" w:color="auto" w:fill="auto"/>
            <w:vAlign w:val="bottom"/>
            <w:hideMark/>
          </w:tcPr>
          <w:p w:rsidR="00CC1FDD" w:rsidRPr="006832B1" w:rsidRDefault="00CC1FDD" w:rsidP="001D6CDF">
            <w:pPr>
              <w:rPr>
                <w:rFonts w:ascii="Calibri" w:eastAsia="Times New Roman" w:hAnsi="Calibri" w:cs="Times New Roman"/>
                <w:color w:val="000000"/>
              </w:rPr>
            </w:pPr>
            <w:r w:rsidRPr="006832B1">
              <w:rPr>
                <w:rFonts w:ascii="Calibri" w:eastAsia="Times New Roman" w:hAnsi="Calibri" w:cs="Times New Roman"/>
                <w:color w:val="000000"/>
              </w:rPr>
              <w:t>&gt;$25M</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0</w:t>
            </w:r>
          </w:p>
        </w:tc>
        <w:tc>
          <w:tcPr>
            <w:tcW w:w="11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$0</w:t>
            </w:r>
          </w:p>
        </w:tc>
        <w:tc>
          <w:tcPr>
            <w:tcW w:w="4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0%</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16</w:t>
            </w:r>
          </w:p>
        </w:tc>
        <w:tc>
          <w:tcPr>
            <w:tcW w:w="1265"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$672,970,503</w:t>
            </w:r>
          </w:p>
        </w:tc>
      </w:tr>
      <w:tr w:rsidR="00CC1FDD" w:rsidRPr="00187E55" w:rsidTr="001D6CDF">
        <w:trPr>
          <w:trHeight w:val="20"/>
        </w:trPr>
        <w:tc>
          <w:tcPr>
            <w:tcW w:w="1055" w:type="pct"/>
            <w:shd w:val="clear" w:color="000000" w:fill="DAEEF3"/>
            <w:noWrap/>
            <w:vAlign w:val="bottom"/>
            <w:hideMark/>
          </w:tcPr>
          <w:p w:rsidR="00CC1FDD" w:rsidRPr="006832B1" w:rsidRDefault="00CC1FDD" w:rsidP="001D6CDF">
            <w:pPr>
              <w:rPr>
                <w:rFonts w:ascii="Calibri" w:eastAsia="Times New Roman" w:hAnsi="Calibri" w:cs="Times New Roman"/>
                <w:b/>
                <w:color w:val="000000"/>
              </w:rPr>
            </w:pPr>
            <w:r w:rsidRPr="006832B1">
              <w:rPr>
                <w:rFonts w:ascii="Calibri" w:eastAsia="Times New Roman" w:hAnsi="Calibri" w:cs="Times New Roman"/>
                <w:b/>
                <w:color w:val="000000"/>
              </w:rPr>
              <w:t>Standardized Services</w:t>
            </w:r>
          </w:p>
        </w:tc>
        <w:tc>
          <w:tcPr>
            <w:tcW w:w="548" w:type="pct"/>
            <w:shd w:val="clear" w:color="auto" w:fill="DAEEF3" w:themeFill="accent5" w:themeFillTint="33"/>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824</w:t>
            </w:r>
          </w:p>
        </w:tc>
        <w:tc>
          <w:tcPr>
            <w:tcW w:w="1142" w:type="pct"/>
            <w:shd w:val="clear" w:color="auto" w:fill="DAEEF3" w:themeFill="accent5" w:themeFillTint="33"/>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$32,515,498</w:t>
            </w:r>
          </w:p>
        </w:tc>
        <w:tc>
          <w:tcPr>
            <w:tcW w:w="442" w:type="pct"/>
            <w:shd w:val="clear" w:color="auto" w:fill="DAEEF3" w:themeFill="accent5" w:themeFillTint="33"/>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7%</w:t>
            </w:r>
          </w:p>
        </w:tc>
        <w:tc>
          <w:tcPr>
            <w:tcW w:w="548" w:type="pct"/>
            <w:shd w:val="clear" w:color="auto" w:fill="DAEEF3" w:themeFill="accent5" w:themeFillTint="33"/>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3,665</w:t>
            </w:r>
          </w:p>
        </w:tc>
        <w:tc>
          <w:tcPr>
            <w:tcW w:w="1265" w:type="pct"/>
            <w:shd w:val="clear" w:color="auto" w:fill="DAEEF3" w:themeFill="accent5" w:themeFillTint="33"/>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$455,968,946</w:t>
            </w:r>
          </w:p>
        </w:tc>
      </w:tr>
      <w:tr w:rsidR="00CC1FDD" w:rsidRPr="00187E55" w:rsidTr="001D6CDF">
        <w:trPr>
          <w:trHeight w:val="20"/>
        </w:trPr>
        <w:tc>
          <w:tcPr>
            <w:tcW w:w="1055" w:type="pct"/>
            <w:shd w:val="clear" w:color="auto" w:fill="auto"/>
            <w:vAlign w:val="bottom"/>
            <w:hideMark/>
          </w:tcPr>
          <w:p w:rsidR="00CC1FDD" w:rsidRPr="00650F1B" w:rsidRDefault="00CC1FDD" w:rsidP="001D6CDF">
            <w:pPr>
              <w:rPr>
                <w:rFonts w:ascii="Calibri" w:eastAsia="Times New Roman" w:hAnsi="Calibri" w:cs="Times New Roman"/>
                <w:color w:val="000000"/>
              </w:rPr>
            </w:pPr>
            <w:r w:rsidRPr="00650F1B">
              <w:rPr>
                <w:rFonts w:ascii="Calibri" w:eastAsia="Times New Roman" w:hAnsi="Calibri" w:cs="Times New Roman"/>
                <w:color w:val="000000"/>
              </w:rPr>
              <w:t>Micro Purchase</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735</w:t>
            </w:r>
          </w:p>
        </w:tc>
        <w:tc>
          <w:tcPr>
            <w:tcW w:w="11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$4,861,974</w:t>
            </w:r>
          </w:p>
        </w:tc>
        <w:tc>
          <w:tcPr>
            <w:tcW w:w="4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26%</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3,355</w:t>
            </w:r>
          </w:p>
        </w:tc>
        <w:tc>
          <w:tcPr>
            <w:tcW w:w="1265"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$18,587,082</w:t>
            </w:r>
          </w:p>
        </w:tc>
      </w:tr>
      <w:tr w:rsidR="00CC1FDD" w:rsidRPr="00187E55" w:rsidTr="001D6CDF">
        <w:trPr>
          <w:trHeight w:val="20"/>
        </w:trPr>
        <w:tc>
          <w:tcPr>
            <w:tcW w:w="1055" w:type="pct"/>
            <w:shd w:val="clear" w:color="auto" w:fill="auto"/>
            <w:vAlign w:val="bottom"/>
            <w:hideMark/>
          </w:tcPr>
          <w:p w:rsidR="00CC1FDD" w:rsidRPr="00650F1B" w:rsidRDefault="00CC1FDD" w:rsidP="001D6CDF">
            <w:pPr>
              <w:rPr>
                <w:rFonts w:ascii="Calibri" w:eastAsia="Times New Roman" w:hAnsi="Calibri" w:cs="Times New Roman"/>
                <w:color w:val="000000"/>
              </w:rPr>
            </w:pPr>
            <w:r w:rsidRPr="00650F1B">
              <w:rPr>
                <w:rFonts w:ascii="Calibri" w:eastAsia="Times New Roman" w:hAnsi="Calibri" w:cs="Times New Roman"/>
                <w:color w:val="000000"/>
              </w:rPr>
              <w:t>Small Purchase</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82</w:t>
            </w:r>
          </w:p>
        </w:tc>
        <w:tc>
          <w:tcPr>
            <w:tcW w:w="11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$5,817,860</w:t>
            </w:r>
          </w:p>
        </w:tc>
        <w:tc>
          <w:tcPr>
            <w:tcW w:w="4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44%</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189</w:t>
            </w:r>
          </w:p>
        </w:tc>
        <w:tc>
          <w:tcPr>
            <w:tcW w:w="1265"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$13,191,528</w:t>
            </w:r>
          </w:p>
        </w:tc>
      </w:tr>
      <w:tr w:rsidR="00CC1FDD" w:rsidRPr="00187E55" w:rsidTr="001D6CDF">
        <w:trPr>
          <w:trHeight w:val="20"/>
        </w:trPr>
        <w:tc>
          <w:tcPr>
            <w:tcW w:w="1055" w:type="pct"/>
            <w:shd w:val="clear" w:color="auto" w:fill="auto"/>
            <w:vAlign w:val="bottom"/>
            <w:hideMark/>
          </w:tcPr>
          <w:p w:rsidR="00CC1FDD" w:rsidRPr="00650F1B" w:rsidRDefault="00CC1FDD" w:rsidP="001D6CDF">
            <w:pPr>
              <w:rPr>
                <w:rFonts w:ascii="Calibri" w:eastAsia="Times New Roman" w:hAnsi="Calibri" w:cs="Times New Roman"/>
                <w:color w:val="000000"/>
              </w:rPr>
            </w:pPr>
            <w:r w:rsidRPr="00650F1B">
              <w:rPr>
                <w:rFonts w:ascii="Calibri" w:eastAsia="Times New Roman" w:hAnsi="Calibri" w:cs="Times New Roman"/>
                <w:color w:val="000000"/>
              </w:rPr>
              <w:t>&gt;$100K, &lt;=$1M</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5</w:t>
            </w:r>
          </w:p>
        </w:tc>
        <w:tc>
          <w:tcPr>
            <w:tcW w:w="11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$2,538,664</w:t>
            </w:r>
          </w:p>
        </w:tc>
        <w:tc>
          <w:tcPr>
            <w:tcW w:w="4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10%</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61</w:t>
            </w:r>
          </w:p>
        </w:tc>
        <w:tc>
          <w:tcPr>
            <w:tcW w:w="1265"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$26,275,909</w:t>
            </w:r>
          </w:p>
        </w:tc>
      </w:tr>
      <w:tr w:rsidR="00CC1FDD" w:rsidRPr="00187E55" w:rsidTr="001D6CDF">
        <w:trPr>
          <w:trHeight w:val="20"/>
        </w:trPr>
        <w:tc>
          <w:tcPr>
            <w:tcW w:w="1055" w:type="pct"/>
            <w:shd w:val="clear" w:color="auto" w:fill="auto"/>
            <w:vAlign w:val="bottom"/>
            <w:hideMark/>
          </w:tcPr>
          <w:p w:rsidR="00CC1FDD" w:rsidRPr="00650F1B" w:rsidRDefault="00CC1FDD" w:rsidP="001D6CDF">
            <w:pPr>
              <w:rPr>
                <w:rFonts w:ascii="Calibri" w:eastAsia="Times New Roman" w:hAnsi="Calibri" w:cs="Times New Roman"/>
                <w:color w:val="000000"/>
              </w:rPr>
            </w:pPr>
            <w:r w:rsidRPr="00650F1B">
              <w:rPr>
                <w:rFonts w:ascii="Calibri" w:eastAsia="Times New Roman" w:hAnsi="Calibri" w:cs="Times New Roman"/>
                <w:color w:val="000000"/>
              </w:rPr>
              <w:t>&gt;$1M, &lt;=$5M</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w:t>
            </w:r>
          </w:p>
        </w:tc>
        <w:tc>
          <w:tcPr>
            <w:tcW w:w="11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$4,297,000</w:t>
            </w:r>
          </w:p>
        </w:tc>
        <w:tc>
          <w:tcPr>
            <w:tcW w:w="4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4%</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43</w:t>
            </w:r>
          </w:p>
        </w:tc>
        <w:tc>
          <w:tcPr>
            <w:tcW w:w="1265"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$116,794,057</w:t>
            </w:r>
          </w:p>
        </w:tc>
      </w:tr>
      <w:tr w:rsidR="00CC1FDD" w:rsidRPr="00187E55" w:rsidTr="001D6CDF">
        <w:trPr>
          <w:trHeight w:val="20"/>
        </w:trPr>
        <w:tc>
          <w:tcPr>
            <w:tcW w:w="1055" w:type="pct"/>
            <w:shd w:val="clear" w:color="auto" w:fill="auto"/>
            <w:vAlign w:val="bottom"/>
            <w:hideMark/>
          </w:tcPr>
          <w:p w:rsidR="00CC1FDD" w:rsidRPr="00650F1B" w:rsidRDefault="00CC1FDD" w:rsidP="001D6CDF">
            <w:pPr>
              <w:rPr>
                <w:rFonts w:ascii="Calibri" w:eastAsia="Times New Roman" w:hAnsi="Calibri" w:cs="Times New Roman"/>
                <w:color w:val="000000"/>
              </w:rPr>
            </w:pPr>
            <w:r w:rsidRPr="00650F1B">
              <w:rPr>
                <w:rFonts w:ascii="Calibri" w:eastAsia="Times New Roman" w:hAnsi="Calibri" w:cs="Times New Roman"/>
                <w:color w:val="000000"/>
              </w:rPr>
              <w:t>&gt;$5M, &lt;=$25M</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w:t>
            </w:r>
          </w:p>
        </w:tc>
        <w:tc>
          <w:tcPr>
            <w:tcW w:w="11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$15,000,000</w:t>
            </w:r>
          </w:p>
        </w:tc>
        <w:tc>
          <w:tcPr>
            <w:tcW w:w="4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11%</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14</w:t>
            </w:r>
          </w:p>
        </w:tc>
        <w:tc>
          <w:tcPr>
            <w:tcW w:w="1265"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$135,125,549</w:t>
            </w:r>
          </w:p>
        </w:tc>
      </w:tr>
      <w:tr w:rsidR="00CC1FDD" w:rsidRPr="00187E55" w:rsidTr="001D6CDF">
        <w:trPr>
          <w:trHeight w:val="20"/>
        </w:trPr>
        <w:tc>
          <w:tcPr>
            <w:tcW w:w="1055" w:type="pct"/>
            <w:shd w:val="clear" w:color="auto" w:fill="auto"/>
            <w:vAlign w:val="bottom"/>
            <w:hideMark/>
          </w:tcPr>
          <w:p w:rsidR="00CC1FDD" w:rsidRPr="00650F1B" w:rsidRDefault="00CC1FDD" w:rsidP="001D6CDF">
            <w:pPr>
              <w:rPr>
                <w:rFonts w:ascii="Calibri" w:eastAsia="Times New Roman" w:hAnsi="Calibri" w:cs="Times New Roman"/>
                <w:color w:val="000000"/>
              </w:rPr>
            </w:pPr>
            <w:r w:rsidRPr="00650F1B">
              <w:rPr>
                <w:rFonts w:ascii="Calibri" w:eastAsia="Times New Roman" w:hAnsi="Calibri" w:cs="Times New Roman"/>
                <w:color w:val="000000"/>
              </w:rPr>
              <w:t>&gt;$25M</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0</w:t>
            </w:r>
          </w:p>
        </w:tc>
        <w:tc>
          <w:tcPr>
            <w:tcW w:w="11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$0</w:t>
            </w:r>
          </w:p>
        </w:tc>
        <w:tc>
          <w:tcPr>
            <w:tcW w:w="4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0%</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3</w:t>
            </w:r>
          </w:p>
        </w:tc>
        <w:tc>
          <w:tcPr>
            <w:tcW w:w="1265"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$145,994,821</w:t>
            </w:r>
          </w:p>
        </w:tc>
      </w:tr>
      <w:tr w:rsidR="00CC1FDD" w:rsidRPr="00187E55" w:rsidTr="001D6CDF">
        <w:trPr>
          <w:trHeight w:val="20"/>
        </w:trPr>
        <w:tc>
          <w:tcPr>
            <w:tcW w:w="1055" w:type="pct"/>
            <w:shd w:val="clear" w:color="auto" w:fill="B6DDE8" w:themeFill="accent5" w:themeFillTint="66"/>
            <w:vAlign w:val="center"/>
            <w:hideMark/>
          </w:tcPr>
          <w:p w:rsidR="00CC1FDD" w:rsidRPr="006832B1" w:rsidRDefault="00CC1FDD" w:rsidP="001D6CDF">
            <w:pPr>
              <w:rPr>
                <w:rFonts w:ascii="Calibri" w:eastAsia="Times New Roman" w:hAnsi="Calibri" w:cs="Times New Roman"/>
                <w:b/>
                <w:color w:val="000000"/>
              </w:rPr>
            </w:pPr>
            <w:r w:rsidRPr="006832B1">
              <w:rPr>
                <w:rFonts w:ascii="Calibri" w:eastAsia="Times New Roman" w:hAnsi="Calibri" w:cs="Times New Roman"/>
                <w:b/>
                <w:color w:val="000000"/>
              </w:rPr>
              <w:t>Total</w:t>
            </w:r>
          </w:p>
        </w:tc>
        <w:tc>
          <w:tcPr>
            <w:tcW w:w="548" w:type="pct"/>
            <w:shd w:val="clear" w:color="auto" w:fill="B6DDE8" w:themeFill="accent5" w:themeFillTint="66"/>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6,827</w:t>
            </w:r>
          </w:p>
        </w:tc>
        <w:tc>
          <w:tcPr>
            <w:tcW w:w="1142" w:type="pct"/>
            <w:shd w:val="clear" w:color="auto" w:fill="B6DDE8" w:themeFill="accent5" w:themeFillTint="66"/>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$722,426,408</w:t>
            </w:r>
          </w:p>
        </w:tc>
        <w:tc>
          <w:tcPr>
            <w:tcW w:w="442" w:type="pct"/>
            <w:shd w:val="clear" w:color="auto" w:fill="B6DDE8" w:themeFill="accent5" w:themeFillTint="66"/>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17%</w:t>
            </w:r>
          </w:p>
        </w:tc>
        <w:tc>
          <w:tcPr>
            <w:tcW w:w="548" w:type="pct"/>
            <w:shd w:val="clear" w:color="auto" w:fill="B6DDE8" w:themeFill="accent5" w:themeFillTint="66"/>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18,238</w:t>
            </w:r>
          </w:p>
        </w:tc>
        <w:tc>
          <w:tcPr>
            <w:tcW w:w="1265" w:type="pct"/>
            <w:shd w:val="clear" w:color="auto" w:fill="B6DDE8" w:themeFill="accent5" w:themeFillTint="66"/>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$4,203,077,798</w:t>
            </w:r>
          </w:p>
        </w:tc>
      </w:tr>
      <w:tr w:rsidR="00CC1FDD" w:rsidRPr="00187E55" w:rsidTr="001D6CDF">
        <w:trPr>
          <w:trHeight w:val="20"/>
        </w:trPr>
        <w:tc>
          <w:tcPr>
            <w:tcW w:w="1055" w:type="pct"/>
            <w:shd w:val="clear" w:color="auto" w:fill="auto"/>
            <w:vAlign w:val="bottom"/>
            <w:hideMark/>
          </w:tcPr>
          <w:p w:rsidR="00CC1FDD" w:rsidRPr="006832B1" w:rsidRDefault="00CC1FDD" w:rsidP="001D6CDF">
            <w:pPr>
              <w:rPr>
                <w:rFonts w:ascii="Calibri" w:eastAsia="Times New Roman" w:hAnsi="Calibri" w:cs="Times New Roman"/>
                <w:color w:val="000000"/>
              </w:rPr>
            </w:pPr>
            <w:r w:rsidRPr="006832B1">
              <w:rPr>
                <w:rFonts w:ascii="Calibri" w:eastAsia="Times New Roman" w:hAnsi="Calibri" w:cs="Times New Roman"/>
                <w:color w:val="000000"/>
              </w:rPr>
              <w:t>Micro Purchase</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6,366</w:t>
            </w:r>
          </w:p>
        </w:tc>
        <w:tc>
          <w:tcPr>
            <w:tcW w:w="11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$27,613,558</w:t>
            </w:r>
          </w:p>
        </w:tc>
        <w:tc>
          <w:tcPr>
            <w:tcW w:w="4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37%</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16,915</w:t>
            </w:r>
          </w:p>
        </w:tc>
        <w:tc>
          <w:tcPr>
            <w:tcW w:w="1265"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$74,658,614</w:t>
            </w:r>
          </w:p>
        </w:tc>
      </w:tr>
      <w:tr w:rsidR="00CC1FDD" w:rsidRPr="00187E55" w:rsidTr="001D6CDF">
        <w:trPr>
          <w:trHeight w:val="20"/>
        </w:trPr>
        <w:tc>
          <w:tcPr>
            <w:tcW w:w="1055" w:type="pct"/>
            <w:shd w:val="clear" w:color="auto" w:fill="auto"/>
            <w:vAlign w:val="bottom"/>
            <w:hideMark/>
          </w:tcPr>
          <w:p w:rsidR="00CC1FDD" w:rsidRPr="006832B1" w:rsidRDefault="00CC1FDD" w:rsidP="001D6CDF">
            <w:pPr>
              <w:rPr>
                <w:rFonts w:ascii="Calibri" w:eastAsia="Times New Roman" w:hAnsi="Calibri" w:cs="Times New Roman"/>
                <w:color w:val="000000"/>
              </w:rPr>
            </w:pPr>
            <w:r w:rsidRPr="006832B1">
              <w:rPr>
                <w:rFonts w:ascii="Calibri" w:eastAsia="Times New Roman" w:hAnsi="Calibri" w:cs="Times New Roman"/>
                <w:color w:val="000000"/>
              </w:rPr>
              <w:t>Small Purchase</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330</w:t>
            </w:r>
          </w:p>
        </w:tc>
        <w:tc>
          <w:tcPr>
            <w:tcW w:w="11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$20,723,946</w:t>
            </w:r>
          </w:p>
        </w:tc>
        <w:tc>
          <w:tcPr>
            <w:tcW w:w="442"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44%</w:t>
            </w:r>
          </w:p>
        </w:tc>
        <w:tc>
          <w:tcPr>
            <w:tcW w:w="548"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734</w:t>
            </w:r>
          </w:p>
        </w:tc>
        <w:tc>
          <w:tcPr>
            <w:tcW w:w="1265" w:type="pct"/>
            <w:shd w:val="clear" w:color="auto" w:fill="auto"/>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$46,648,797</w:t>
            </w:r>
          </w:p>
        </w:tc>
      </w:tr>
      <w:tr w:rsidR="00CC1FDD" w:rsidRPr="00187E55" w:rsidTr="001D6CDF">
        <w:trPr>
          <w:trHeight w:val="20"/>
        </w:trPr>
        <w:tc>
          <w:tcPr>
            <w:tcW w:w="1055" w:type="pct"/>
            <w:shd w:val="clear" w:color="auto" w:fill="auto"/>
            <w:vAlign w:val="bottom"/>
            <w:hideMark/>
          </w:tcPr>
          <w:p w:rsidR="00CC1FDD" w:rsidRPr="006832B1" w:rsidRDefault="00CC1FDD" w:rsidP="001D6CDF">
            <w:pPr>
              <w:rPr>
                <w:rFonts w:ascii="Calibri" w:eastAsia="Times New Roman" w:hAnsi="Calibri" w:cs="Times New Roman"/>
                <w:color w:val="000000"/>
              </w:rPr>
            </w:pPr>
            <w:r w:rsidRPr="006832B1">
              <w:rPr>
                <w:rFonts w:ascii="Calibri" w:eastAsia="Times New Roman" w:hAnsi="Calibri" w:cs="Times New Roman"/>
                <w:color w:val="000000"/>
              </w:rPr>
              <w:t>&gt;$100K, &lt;=$1M</w:t>
            </w:r>
          </w:p>
        </w:tc>
        <w:tc>
          <w:tcPr>
            <w:tcW w:w="548" w:type="pct"/>
            <w:shd w:val="clear" w:color="auto" w:fill="auto"/>
            <w:noWrap/>
            <w:vAlign w:val="bottom"/>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32</w:t>
            </w:r>
          </w:p>
        </w:tc>
        <w:tc>
          <w:tcPr>
            <w:tcW w:w="1142" w:type="pct"/>
            <w:shd w:val="clear" w:color="auto" w:fill="auto"/>
            <w:vAlign w:val="bottom"/>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$17,563,342</w:t>
            </w:r>
          </w:p>
        </w:tc>
        <w:tc>
          <w:tcPr>
            <w:tcW w:w="442" w:type="pct"/>
            <w:shd w:val="clear" w:color="auto" w:fill="auto"/>
            <w:vAlign w:val="bottom"/>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21%</w:t>
            </w:r>
          </w:p>
        </w:tc>
        <w:tc>
          <w:tcPr>
            <w:tcW w:w="548" w:type="pct"/>
            <w:shd w:val="clear" w:color="auto" w:fill="auto"/>
            <w:noWrap/>
            <w:vAlign w:val="bottom"/>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174</w:t>
            </w:r>
          </w:p>
        </w:tc>
        <w:tc>
          <w:tcPr>
            <w:tcW w:w="1265" w:type="pct"/>
            <w:shd w:val="clear" w:color="auto" w:fill="auto"/>
            <w:vAlign w:val="bottom"/>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$84,327,257</w:t>
            </w:r>
          </w:p>
        </w:tc>
      </w:tr>
      <w:tr w:rsidR="00CC1FDD" w:rsidRPr="00187E55" w:rsidTr="001D6CDF">
        <w:trPr>
          <w:trHeight w:val="20"/>
        </w:trPr>
        <w:tc>
          <w:tcPr>
            <w:tcW w:w="1055" w:type="pct"/>
            <w:shd w:val="clear" w:color="auto" w:fill="auto"/>
            <w:vAlign w:val="bottom"/>
            <w:hideMark/>
          </w:tcPr>
          <w:p w:rsidR="00CC1FDD" w:rsidRPr="006832B1" w:rsidRDefault="00CC1FDD" w:rsidP="001D6CDF">
            <w:pPr>
              <w:rPr>
                <w:rFonts w:ascii="Calibri" w:eastAsia="Times New Roman" w:hAnsi="Calibri" w:cs="Times New Roman"/>
                <w:color w:val="000000"/>
              </w:rPr>
            </w:pPr>
            <w:r w:rsidRPr="006832B1">
              <w:rPr>
                <w:rFonts w:ascii="Calibri" w:eastAsia="Times New Roman" w:hAnsi="Calibri" w:cs="Times New Roman"/>
                <w:color w:val="000000"/>
              </w:rPr>
              <w:t>&gt;$1M, &lt;=$5M</w:t>
            </w:r>
          </w:p>
        </w:tc>
        <w:tc>
          <w:tcPr>
            <w:tcW w:w="548" w:type="pct"/>
            <w:shd w:val="clear" w:color="auto" w:fill="auto"/>
            <w:noWrap/>
            <w:vAlign w:val="bottom"/>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61</w:t>
            </w:r>
          </w:p>
        </w:tc>
        <w:tc>
          <w:tcPr>
            <w:tcW w:w="1142" w:type="pct"/>
            <w:shd w:val="clear" w:color="auto" w:fill="auto"/>
            <w:vAlign w:val="bottom"/>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$180,007,851</w:t>
            </w:r>
          </w:p>
        </w:tc>
        <w:tc>
          <w:tcPr>
            <w:tcW w:w="442" w:type="pct"/>
            <w:shd w:val="clear" w:color="auto" w:fill="auto"/>
            <w:vAlign w:val="bottom"/>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28%</w:t>
            </w:r>
          </w:p>
        </w:tc>
        <w:tc>
          <w:tcPr>
            <w:tcW w:w="548" w:type="pct"/>
            <w:shd w:val="clear" w:color="auto" w:fill="auto"/>
            <w:noWrap/>
            <w:vAlign w:val="bottom"/>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218</w:t>
            </w:r>
          </w:p>
        </w:tc>
        <w:tc>
          <w:tcPr>
            <w:tcW w:w="1265" w:type="pct"/>
            <w:shd w:val="clear" w:color="auto" w:fill="auto"/>
            <w:vAlign w:val="bottom"/>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$649,869,636</w:t>
            </w:r>
          </w:p>
        </w:tc>
      </w:tr>
      <w:tr w:rsidR="00CC1FDD" w:rsidRPr="00187E55" w:rsidTr="001D6CDF">
        <w:trPr>
          <w:trHeight w:val="20"/>
        </w:trPr>
        <w:tc>
          <w:tcPr>
            <w:tcW w:w="1055" w:type="pct"/>
            <w:shd w:val="clear" w:color="auto" w:fill="auto"/>
            <w:vAlign w:val="bottom"/>
            <w:hideMark/>
          </w:tcPr>
          <w:p w:rsidR="00CC1FDD" w:rsidRPr="006832B1" w:rsidRDefault="00CC1FDD" w:rsidP="001D6CDF">
            <w:pPr>
              <w:rPr>
                <w:rFonts w:ascii="Calibri" w:eastAsia="Times New Roman" w:hAnsi="Calibri" w:cs="Times New Roman"/>
                <w:color w:val="000000"/>
              </w:rPr>
            </w:pPr>
            <w:r w:rsidRPr="006832B1">
              <w:rPr>
                <w:rFonts w:ascii="Calibri" w:eastAsia="Times New Roman" w:hAnsi="Calibri" w:cs="Times New Roman"/>
                <w:color w:val="000000"/>
              </w:rPr>
              <w:t>&gt;$5M, &lt;=$25M</w:t>
            </w:r>
          </w:p>
        </w:tc>
        <w:tc>
          <w:tcPr>
            <w:tcW w:w="548" w:type="pct"/>
            <w:shd w:val="clear" w:color="auto" w:fill="auto"/>
            <w:noWrap/>
            <w:vAlign w:val="bottom"/>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38</w:t>
            </w:r>
          </w:p>
        </w:tc>
        <w:tc>
          <w:tcPr>
            <w:tcW w:w="1142" w:type="pct"/>
            <w:shd w:val="clear" w:color="auto" w:fill="auto"/>
            <w:vAlign w:val="bottom"/>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$476,517,711</w:t>
            </w:r>
          </w:p>
        </w:tc>
        <w:tc>
          <w:tcPr>
            <w:tcW w:w="442" w:type="pct"/>
            <w:shd w:val="clear" w:color="auto" w:fill="auto"/>
            <w:vAlign w:val="bottom"/>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25%</w:t>
            </w:r>
          </w:p>
        </w:tc>
        <w:tc>
          <w:tcPr>
            <w:tcW w:w="548" w:type="pct"/>
            <w:shd w:val="clear" w:color="auto" w:fill="auto"/>
            <w:noWrap/>
            <w:vAlign w:val="bottom"/>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166</w:t>
            </w:r>
          </w:p>
        </w:tc>
        <w:tc>
          <w:tcPr>
            <w:tcW w:w="1265" w:type="pct"/>
            <w:shd w:val="clear" w:color="auto" w:fill="auto"/>
            <w:vAlign w:val="bottom"/>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$1,915,164,742</w:t>
            </w:r>
          </w:p>
        </w:tc>
      </w:tr>
      <w:tr w:rsidR="00CC1FDD" w:rsidRPr="00187E55" w:rsidTr="001D6CDF">
        <w:trPr>
          <w:trHeight w:val="20"/>
        </w:trPr>
        <w:tc>
          <w:tcPr>
            <w:tcW w:w="1055" w:type="pct"/>
            <w:shd w:val="clear" w:color="auto" w:fill="auto"/>
            <w:vAlign w:val="bottom"/>
            <w:hideMark/>
          </w:tcPr>
          <w:p w:rsidR="00CC1FDD" w:rsidRPr="006832B1" w:rsidRDefault="00CC1FDD" w:rsidP="001D6CDF">
            <w:pPr>
              <w:rPr>
                <w:rFonts w:ascii="Calibri" w:eastAsia="Times New Roman" w:hAnsi="Calibri" w:cs="Times New Roman"/>
                <w:color w:val="000000"/>
              </w:rPr>
            </w:pPr>
            <w:r w:rsidRPr="006832B1">
              <w:rPr>
                <w:rFonts w:ascii="Calibri" w:eastAsia="Times New Roman" w:hAnsi="Calibri" w:cs="Times New Roman"/>
                <w:color w:val="000000"/>
              </w:rPr>
              <w:t>&gt;$25M</w:t>
            </w:r>
          </w:p>
        </w:tc>
        <w:tc>
          <w:tcPr>
            <w:tcW w:w="548" w:type="pct"/>
            <w:shd w:val="clear" w:color="auto" w:fill="auto"/>
            <w:noWrap/>
            <w:vAlign w:val="bottom"/>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0</w:t>
            </w:r>
          </w:p>
        </w:tc>
        <w:tc>
          <w:tcPr>
            <w:tcW w:w="1142" w:type="pct"/>
            <w:shd w:val="clear" w:color="auto" w:fill="auto"/>
            <w:vAlign w:val="bottom"/>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$0</w:t>
            </w:r>
          </w:p>
        </w:tc>
        <w:tc>
          <w:tcPr>
            <w:tcW w:w="442" w:type="pct"/>
            <w:shd w:val="clear" w:color="auto" w:fill="auto"/>
            <w:vAlign w:val="bottom"/>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0%</w:t>
            </w:r>
          </w:p>
        </w:tc>
        <w:tc>
          <w:tcPr>
            <w:tcW w:w="548" w:type="pct"/>
            <w:shd w:val="clear" w:color="auto" w:fill="auto"/>
            <w:noWrap/>
            <w:vAlign w:val="bottom"/>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31</w:t>
            </w:r>
          </w:p>
        </w:tc>
        <w:tc>
          <w:tcPr>
            <w:tcW w:w="1265" w:type="pct"/>
            <w:shd w:val="clear" w:color="auto" w:fill="auto"/>
            <w:vAlign w:val="bottom"/>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$1,432,408,752</w:t>
            </w:r>
          </w:p>
        </w:tc>
      </w:tr>
    </w:tbl>
    <w:p w:rsidR="00E602AF" w:rsidRDefault="00E602AF" w:rsidP="00267026">
      <w:pPr>
        <w:spacing w:after="360" w:line="360" w:lineRule="auto"/>
        <w:jc w:val="both"/>
        <w:rPr>
          <w:rFonts w:ascii="Calibri" w:hAnsi="Calibri"/>
          <w:sz w:val="24"/>
          <w:szCs w:val="24"/>
        </w:rPr>
      </w:pPr>
    </w:p>
    <w:p w:rsidR="00267026" w:rsidRPr="00406B94" w:rsidRDefault="00267026" w:rsidP="00267026">
      <w:pPr>
        <w:spacing w:after="360" w:line="360" w:lineRule="auto"/>
        <w:jc w:val="both"/>
        <w:rPr>
          <w:rFonts w:ascii="Calibri" w:hAnsi="Calibri"/>
          <w:sz w:val="24"/>
          <w:szCs w:val="24"/>
        </w:rPr>
      </w:pPr>
      <w:r w:rsidRPr="005544D2">
        <w:rPr>
          <w:rFonts w:ascii="Calibri" w:hAnsi="Calibri"/>
          <w:sz w:val="24"/>
          <w:szCs w:val="24"/>
        </w:rPr>
        <w:t>Agencies are not required to apply participation requirements to certain types of contracts.  See, NYC Administrative Code § 6-129(q) (1)-(7).  Table 1 above and the subsequent discussi</w:t>
      </w:r>
      <w:r w:rsidR="00EF7B96">
        <w:rPr>
          <w:rFonts w:ascii="Calibri" w:hAnsi="Calibri"/>
          <w:sz w:val="24"/>
          <w:szCs w:val="24"/>
        </w:rPr>
        <w:t>on of M/WBE performance include</w:t>
      </w:r>
      <w:r w:rsidRPr="005544D2">
        <w:rPr>
          <w:rFonts w:ascii="Calibri" w:hAnsi="Calibri"/>
          <w:sz w:val="24"/>
          <w:szCs w:val="24"/>
        </w:rPr>
        <w:t xml:space="preserve"> those contracts that have been counted towards the City’s M/WBE </w:t>
      </w:r>
      <w:r>
        <w:rPr>
          <w:rFonts w:ascii="Calibri" w:hAnsi="Calibri"/>
          <w:sz w:val="24"/>
          <w:szCs w:val="24"/>
        </w:rPr>
        <w:t>p</w:t>
      </w:r>
      <w:r w:rsidRPr="005544D2">
        <w:rPr>
          <w:rFonts w:ascii="Calibri" w:hAnsi="Calibri"/>
          <w:sz w:val="24"/>
          <w:szCs w:val="24"/>
        </w:rPr>
        <w:t>rogram.</w:t>
      </w:r>
    </w:p>
    <w:p w:rsidR="00267026" w:rsidRPr="00406B94" w:rsidRDefault="00267026" w:rsidP="00267026">
      <w:pPr>
        <w:spacing w:after="360" w:line="360" w:lineRule="auto"/>
        <w:jc w:val="both"/>
        <w:rPr>
          <w:rFonts w:ascii="Calibri" w:hAnsi="Calibri"/>
          <w:sz w:val="24"/>
          <w:szCs w:val="24"/>
        </w:rPr>
      </w:pPr>
      <w:r w:rsidRPr="00552425">
        <w:rPr>
          <w:rFonts w:ascii="Calibri" w:hAnsi="Calibri"/>
          <w:sz w:val="24"/>
          <w:szCs w:val="24"/>
        </w:rPr>
        <w:lastRenderedPageBreak/>
        <w:t>As required by §6-129 of the Administrative Code, the M/WBE performance dat</w:t>
      </w:r>
      <w:r w:rsidR="00EF7B96">
        <w:rPr>
          <w:rFonts w:ascii="Calibri" w:hAnsi="Calibri"/>
          <w:sz w:val="24"/>
          <w:szCs w:val="24"/>
        </w:rPr>
        <w:t>a (see Appendices – Tables A - F</w:t>
      </w:r>
      <w:r w:rsidRPr="00552425">
        <w:rPr>
          <w:rFonts w:ascii="Calibri" w:hAnsi="Calibri"/>
          <w:sz w:val="24"/>
          <w:szCs w:val="24"/>
        </w:rPr>
        <w:t>)</w:t>
      </w:r>
      <w:r w:rsidR="008E5BE8" w:rsidRPr="00D55DF9">
        <w:rPr>
          <w:rStyle w:val="FootnoteReference"/>
          <w:rFonts w:ascii="Calibri" w:hAnsi="Calibri"/>
          <w:sz w:val="24"/>
          <w:szCs w:val="24"/>
        </w:rPr>
        <w:footnoteReference w:id="3"/>
      </w:r>
      <w:r w:rsidRPr="00552425">
        <w:rPr>
          <w:rFonts w:ascii="Calibri" w:hAnsi="Calibri"/>
          <w:sz w:val="24"/>
          <w:szCs w:val="24"/>
        </w:rPr>
        <w:t xml:space="preserve"> </w:t>
      </w:r>
      <w:r w:rsidRPr="00406B94">
        <w:rPr>
          <w:rFonts w:ascii="Calibri" w:hAnsi="Calibri"/>
          <w:sz w:val="24"/>
          <w:szCs w:val="24"/>
        </w:rPr>
        <w:t>is summarized separately for each of the following categories:  MBE, WBE, minority women (</w:t>
      </w:r>
      <w:r>
        <w:rPr>
          <w:rFonts w:ascii="Calibri" w:hAnsi="Calibri"/>
          <w:sz w:val="24"/>
          <w:szCs w:val="24"/>
        </w:rPr>
        <w:t xml:space="preserve">certified as </w:t>
      </w:r>
      <w:r w:rsidRPr="00406B94">
        <w:rPr>
          <w:rFonts w:ascii="Calibri" w:hAnsi="Calibri"/>
          <w:sz w:val="24"/>
          <w:szCs w:val="24"/>
        </w:rPr>
        <w:t>both MBE and WBE), and total M/WBE.  MBEs include all minority-owned businesses, regardless of gender. WBEs include all women-owned businesses regardless of race.</w:t>
      </w:r>
    </w:p>
    <w:p w:rsidR="00267026" w:rsidRPr="00406B94" w:rsidRDefault="00267026" w:rsidP="00267026">
      <w:pPr>
        <w:spacing w:after="120" w:line="360" w:lineRule="auto"/>
        <w:jc w:val="both"/>
        <w:rPr>
          <w:rFonts w:ascii="Calibri" w:hAnsi="Calibri"/>
          <w:sz w:val="24"/>
          <w:szCs w:val="24"/>
        </w:rPr>
      </w:pPr>
      <w:r w:rsidRPr="00406B94">
        <w:rPr>
          <w:rFonts w:ascii="Calibri" w:hAnsi="Calibri"/>
          <w:sz w:val="24"/>
          <w:szCs w:val="24"/>
        </w:rPr>
        <w:t>In those areas of procurement where agencies have greater discretion to target procurements to M/WBEs, (i.e., micro purchases and small purchases), M/WBE utilization remains strong.  In the first</w:t>
      </w:r>
      <w:r w:rsidR="00CC1FDD">
        <w:rPr>
          <w:rFonts w:ascii="Calibri" w:hAnsi="Calibri"/>
          <w:sz w:val="24"/>
          <w:szCs w:val="24"/>
        </w:rPr>
        <w:t xml:space="preserve"> three </w:t>
      </w:r>
      <w:r w:rsidR="00EF7B96">
        <w:rPr>
          <w:rFonts w:ascii="Calibri" w:hAnsi="Calibri"/>
          <w:sz w:val="24"/>
          <w:szCs w:val="24"/>
        </w:rPr>
        <w:t>quarter</w:t>
      </w:r>
      <w:r w:rsidR="00993755">
        <w:rPr>
          <w:rFonts w:ascii="Calibri" w:hAnsi="Calibri"/>
          <w:sz w:val="24"/>
          <w:szCs w:val="24"/>
        </w:rPr>
        <w:t>s</w:t>
      </w:r>
      <w:r w:rsidRPr="00406B94">
        <w:rPr>
          <w:rFonts w:ascii="Calibri" w:hAnsi="Calibri"/>
          <w:sz w:val="24"/>
          <w:szCs w:val="24"/>
        </w:rPr>
        <w:t xml:space="preserve"> of FY 201</w:t>
      </w:r>
      <w:r w:rsidR="002D5C00">
        <w:rPr>
          <w:rFonts w:ascii="Calibri" w:hAnsi="Calibri"/>
          <w:sz w:val="24"/>
          <w:szCs w:val="24"/>
        </w:rPr>
        <w:t>7</w:t>
      </w:r>
      <w:r w:rsidRPr="00406B94">
        <w:rPr>
          <w:rFonts w:ascii="Calibri" w:hAnsi="Calibri"/>
          <w:sz w:val="24"/>
          <w:szCs w:val="24"/>
        </w:rPr>
        <w:t xml:space="preserve">, M/WBEs were awarded </w:t>
      </w:r>
      <w:r w:rsidR="00C10B9C">
        <w:rPr>
          <w:rFonts w:ascii="Calibri" w:hAnsi="Calibri"/>
          <w:sz w:val="24"/>
          <w:szCs w:val="24"/>
        </w:rPr>
        <w:t>over</w:t>
      </w:r>
      <w:r w:rsidRPr="00406B94">
        <w:rPr>
          <w:rFonts w:ascii="Calibri" w:hAnsi="Calibri"/>
          <w:sz w:val="24"/>
          <w:szCs w:val="24"/>
        </w:rPr>
        <w:t xml:space="preserve"> </w:t>
      </w:r>
      <w:r w:rsidR="00C10B9C">
        <w:rPr>
          <w:rFonts w:ascii="Calibri" w:hAnsi="Calibri"/>
          <w:sz w:val="24"/>
          <w:szCs w:val="24"/>
        </w:rPr>
        <w:t>$27.6</w:t>
      </w:r>
      <w:r w:rsidR="00E254AF">
        <w:rPr>
          <w:rFonts w:ascii="Calibri" w:hAnsi="Calibri"/>
          <w:sz w:val="24"/>
          <w:szCs w:val="24"/>
        </w:rPr>
        <w:t xml:space="preserve"> </w:t>
      </w:r>
      <w:r w:rsidR="00784A0C">
        <w:rPr>
          <w:rFonts w:ascii="Calibri" w:hAnsi="Calibri"/>
          <w:sz w:val="24"/>
          <w:szCs w:val="24"/>
        </w:rPr>
        <w:t>million worth</w:t>
      </w:r>
      <w:r w:rsidRPr="00406B94">
        <w:rPr>
          <w:rFonts w:ascii="Calibri" w:hAnsi="Calibri"/>
          <w:sz w:val="24"/>
          <w:szCs w:val="24"/>
        </w:rPr>
        <w:t xml:space="preserve"> of micro purc</w:t>
      </w:r>
      <w:r w:rsidR="00EF7B96">
        <w:rPr>
          <w:rFonts w:ascii="Calibri" w:hAnsi="Calibri"/>
          <w:sz w:val="24"/>
          <w:szCs w:val="24"/>
        </w:rPr>
        <w:t xml:space="preserve">hases, or </w:t>
      </w:r>
      <w:r w:rsidR="00C10B9C">
        <w:rPr>
          <w:rFonts w:ascii="Calibri" w:hAnsi="Calibri"/>
          <w:sz w:val="24"/>
          <w:szCs w:val="24"/>
        </w:rPr>
        <w:t>37</w:t>
      </w:r>
      <w:r w:rsidR="00784A0C">
        <w:rPr>
          <w:rFonts w:ascii="Calibri" w:hAnsi="Calibri"/>
          <w:sz w:val="24"/>
          <w:szCs w:val="24"/>
        </w:rPr>
        <w:t>%</w:t>
      </w:r>
      <w:r w:rsidRPr="00406B94">
        <w:rPr>
          <w:rFonts w:ascii="Calibri" w:hAnsi="Calibri"/>
          <w:sz w:val="24"/>
          <w:szCs w:val="24"/>
        </w:rPr>
        <w:t xml:space="preserve"> of the dollar value of all such awards.  Additionally, for small purchases the M/WBE utilization rate was</w:t>
      </w:r>
      <w:r w:rsidR="00784A0C">
        <w:rPr>
          <w:rFonts w:ascii="Calibri" w:hAnsi="Calibri"/>
          <w:sz w:val="24"/>
          <w:szCs w:val="24"/>
        </w:rPr>
        <w:t xml:space="preserve"> </w:t>
      </w:r>
      <w:r w:rsidR="00C10B9C">
        <w:rPr>
          <w:rFonts w:ascii="Calibri" w:hAnsi="Calibri"/>
          <w:sz w:val="24"/>
          <w:szCs w:val="24"/>
        </w:rPr>
        <w:t>44</w:t>
      </w:r>
      <w:r w:rsidR="00784A0C">
        <w:rPr>
          <w:rFonts w:ascii="Calibri" w:hAnsi="Calibri"/>
          <w:sz w:val="24"/>
          <w:szCs w:val="24"/>
        </w:rPr>
        <w:t>%</w:t>
      </w:r>
      <w:r w:rsidRPr="00406B94">
        <w:rPr>
          <w:rFonts w:ascii="Calibri" w:hAnsi="Calibri"/>
          <w:sz w:val="24"/>
          <w:szCs w:val="24"/>
        </w:rPr>
        <w:t xml:space="preserve"> of the dollar value of all such awards (</w:t>
      </w:r>
      <w:r w:rsidR="00C10B9C">
        <w:rPr>
          <w:rFonts w:ascii="Calibri" w:hAnsi="Calibri"/>
          <w:sz w:val="24"/>
          <w:szCs w:val="24"/>
        </w:rPr>
        <w:t>over</w:t>
      </w:r>
      <w:r w:rsidR="00B37555">
        <w:rPr>
          <w:rFonts w:ascii="Calibri" w:hAnsi="Calibri"/>
          <w:sz w:val="24"/>
          <w:szCs w:val="24"/>
        </w:rPr>
        <w:t xml:space="preserve"> </w:t>
      </w:r>
      <w:r w:rsidR="00E254AF">
        <w:rPr>
          <w:rFonts w:ascii="Calibri" w:hAnsi="Calibri"/>
          <w:sz w:val="24"/>
          <w:szCs w:val="24"/>
        </w:rPr>
        <w:t>$</w:t>
      </w:r>
      <w:r w:rsidR="00C10B9C">
        <w:rPr>
          <w:rFonts w:ascii="Calibri" w:hAnsi="Calibri"/>
          <w:sz w:val="24"/>
          <w:szCs w:val="24"/>
        </w:rPr>
        <w:t>20.7</w:t>
      </w:r>
      <w:r w:rsidR="00EF2508">
        <w:rPr>
          <w:rFonts w:ascii="Calibri" w:hAnsi="Calibri"/>
          <w:sz w:val="24"/>
          <w:szCs w:val="24"/>
        </w:rPr>
        <w:t xml:space="preserve"> </w:t>
      </w:r>
      <w:r w:rsidR="00784A0C">
        <w:rPr>
          <w:rFonts w:ascii="Calibri" w:hAnsi="Calibri"/>
          <w:sz w:val="24"/>
          <w:szCs w:val="24"/>
        </w:rPr>
        <w:t xml:space="preserve">million </w:t>
      </w:r>
      <w:r w:rsidRPr="00406B94">
        <w:rPr>
          <w:rFonts w:ascii="Calibri" w:hAnsi="Calibri"/>
          <w:sz w:val="24"/>
          <w:szCs w:val="24"/>
        </w:rPr>
        <w:t>awarded).</w:t>
      </w:r>
    </w:p>
    <w:p w:rsidR="00267026" w:rsidRPr="00406B94" w:rsidRDefault="00267026" w:rsidP="00267026">
      <w:pPr>
        <w:spacing w:before="240" w:after="360" w:line="360" w:lineRule="auto"/>
        <w:jc w:val="both"/>
        <w:rPr>
          <w:sz w:val="24"/>
        </w:rPr>
      </w:pPr>
      <w:r w:rsidRPr="00406B94">
        <w:rPr>
          <w:rFonts w:ascii="Calibri" w:hAnsi="Calibri"/>
          <w:sz w:val="24"/>
          <w:szCs w:val="24"/>
        </w:rPr>
        <w:t xml:space="preserve">A total of </w:t>
      </w:r>
      <w:r w:rsidR="00BE6C43">
        <w:rPr>
          <w:rFonts w:ascii="Calibri" w:hAnsi="Calibri"/>
          <w:sz w:val="24"/>
          <w:szCs w:val="24"/>
        </w:rPr>
        <w:t>18,238</w:t>
      </w:r>
      <w:r>
        <w:rPr>
          <w:rFonts w:ascii="Calibri" w:hAnsi="Calibri"/>
          <w:sz w:val="24"/>
          <w:szCs w:val="24"/>
        </w:rPr>
        <w:t xml:space="preserve"> </w:t>
      </w:r>
      <w:r w:rsidRPr="00406B94">
        <w:rPr>
          <w:rFonts w:ascii="Calibri" w:hAnsi="Calibri"/>
          <w:sz w:val="24"/>
          <w:szCs w:val="24"/>
        </w:rPr>
        <w:t>prime contracts were awarded during the first</w:t>
      </w:r>
      <w:r w:rsidR="00CC1FDD">
        <w:rPr>
          <w:rFonts w:ascii="Calibri" w:hAnsi="Calibri"/>
          <w:sz w:val="24"/>
          <w:szCs w:val="24"/>
        </w:rPr>
        <w:t xml:space="preserve"> three </w:t>
      </w:r>
      <w:r w:rsidR="00B37555">
        <w:rPr>
          <w:rFonts w:ascii="Calibri" w:hAnsi="Calibri"/>
          <w:sz w:val="24"/>
          <w:szCs w:val="24"/>
        </w:rPr>
        <w:t>quarter</w:t>
      </w:r>
      <w:r w:rsidR="00993755">
        <w:rPr>
          <w:rFonts w:ascii="Calibri" w:hAnsi="Calibri"/>
          <w:sz w:val="24"/>
          <w:szCs w:val="24"/>
        </w:rPr>
        <w:t>s</w:t>
      </w:r>
      <w:r w:rsidR="00B37555">
        <w:rPr>
          <w:rFonts w:ascii="Calibri" w:hAnsi="Calibri"/>
          <w:sz w:val="24"/>
          <w:szCs w:val="24"/>
        </w:rPr>
        <w:t xml:space="preserve"> </w:t>
      </w:r>
      <w:r w:rsidRPr="00406B94">
        <w:rPr>
          <w:rFonts w:ascii="Calibri" w:hAnsi="Calibri"/>
          <w:sz w:val="24"/>
          <w:szCs w:val="24"/>
        </w:rPr>
        <w:t>of FY 201</w:t>
      </w:r>
      <w:r w:rsidR="00B37555">
        <w:rPr>
          <w:rFonts w:ascii="Calibri" w:hAnsi="Calibri"/>
          <w:sz w:val="24"/>
          <w:szCs w:val="24"/>
        </w:rPr>
        <w:t>7</w:t>
      </w:r>
      <w:r w:rsidRPr="00406B94">
        <w:rPr>
          <w:rFonts w:ascii="Calibri" w:hAnsi="Calibri"/>
          <w:sz w:val="24"/>
          <w:szCs w:val="24"/>
        </w:rPr>
        <w:t>. M/WBE utilization on prime contracts</w:t>
      </w:r>
      <w:r>
        <w:rPr>
          <w:rFonts w:ascii="Calibri" w:hAnsi="Calibri"/>
          <w:sz w:val="24"/>
          <w:szCs w:val="24"/>
        </w:rPr>
        <w:t xml:space="preserve"> during the reporting period is detailed below</w:t>
      </w:r>
      <w:r w:rsidRPr="00406B94">
        <w:rPr>
          <w:rFonts w:ascii="Calibri" w:hAnsi="Calibri"/>
          <w:sz w:val="24"/>
          <w:szCs w:val="24"/>
        </w:rPr>
        <w:t xml:space="preserve">. Highlights include </w:t>
      </w:r>
      <w:r w:rsidRPr="00406B94">
        <w:rPr>
          <w:sz w:val="24"/>
        </w:rPr>
        <w:t>M/WBEs being awarded:</w:t>
      </w:r>
    </w:p>
    <w:p w:rsidR="00267026" w:rsidRPr="00406B94" w:rsidRDefault="00387D67" w:rsidP="00267026">
      <w:pPr>
        <w:numPr>
          <w:ilvl w:val="0"/>
          <w:numId w:val="2"/>
        </w:numPr>
        <w:spacing w:before="240" w:after="360" w:line="360" w:lineRule="auto"/>
        <w:contextualSpacing/>
        <w:jc w:val="both"/>
        <w:rPr>
          <w:sz w:val="24"/>
        </w:rPr>
      </w:pPr>
      <w:r>
        <w:rPr>
          <w:sz w:val="24"/>
        </w:rPr>
        <w:t>21</w:t>
      </w:r>
      <w:r w:rsidR="00E254AF">
        <w:rPr>
          <w:sz w:val="24"/>
        </w:rPr>
        <w:t>%</w:t>
      </w:r>
      <w:r w:rsidR="00267026" w:rsidRPr="00406B94">
        <w:rPr>
          <w:sz w:val="24"/>
        </w:rPr>
        <w:t xml:space="preserve"> of the value of contract awards valued between $100,000 and at or below $1 million (</w:t>
      </w:r>
      <w:r>
        <w:rPr>
          <w:sz w:val="24"/>
        </w:rPr>
        <w:t>over $17.5</w:t>
      </w:r>
      <w:r w:rsidR="00E254AF">
        <w:rPr>
          <w:sz w:val="24"/>
        </w:rPr>
        <w:t xml:space="preserve"> million</w:t>
      </w:r>
      <w:r w:rsidR="00267026" w:rsidRPr="00406B94">
        <w:rPr>
          <w:sz w:val="24"/>
        </w:rPr>
        <w:t>);</w:t>
      </w:r>
    </w:p>
    <w:p w:rsidR="00267026" w:rsidRPr="00406B94" w:rsidRDefault="00387D67" w:rsidP="00267026">
      <w:pPr>
        <w:numPr>
          <w:ilvl w:val="0"/>
          <w:numId w:val="2"/>
        </w:numPr>
        <w:spacing w:before="240" w:after="360" w:line="360" w:lineRule="auto"/>
        <w:contextualSpacing/>
        <w:jc w:val="both"/>
        <w:rPr>
          <w:sz w:val="24"/>
        </w:rPr>
      </w:pPr>
      <w:r>
        <w:rPr>
          <w:sz w:val="24"/>
        </w:rPr>
        <w:t>28</w:t>
      </w:r>
      <w:r w:rsidR="00E254AF">
        <w:rPr>
          <w:sz w:val="24"/>
        </w:rPr>
        <w:t>%</w:t>
      </w:r>
      <w:r w:rsidR="00267026" w:rsidRPr="00406B94">
        <w:rPr>
          <w:sz w:val="24"/>
        </w:rPr>
        <w:t xml:space="preserve"> of the value of contract awards valued between $1 million and at or below</w:t>
      </w:r>
      <w:r w:rsidR="00267026">
        <w:rPr>
          <w:sz w:val="24"/>
        </w:rPr>
        <w:t xml:space="preserve"> $5 million (over</w:t>
      </w:r>
      <w:r w:rsidR="00267026" w:rsidRPr="00406B94">
        <w:rPr>
          <w:sz w:val="24"/>
        </w:rPr>
        <w:t xml:space="preserve"> </w:t>
      </w:r>
      <w:r>
        <w:rPr>
          <w:sz w:val="24"/>
        </w:rPr>
        <w:t>$180</w:t>
      </w:r>
      <w:r w:rsidR="00E254AF">
        <w:rPr>
          <w:sz w:val="24"/>
        </w:rPr>
        <w:t>.0 million</w:t>
      </w:r>
      <w:r w:rsidR="00267026" w:rsidRPr="00406B94">
        <w:rPr>
          <w:sz w:val="24"/>
        </w:rPr>
        <w:t xml:space="preserve">); </w:t>
      </w:r>
      <w:r w:rsidR="00267026">
        <w:rPr>
          <w:sz w:val="24"/>
        </w:rPr>
        <w:t>and</w:t>
      </w:r>
    </w:p>
    <w:p w:rsidR="00267026" w:rsidRPr="00406B94" w:rsidRDefault="00387D67" w:rsidP="00267026">
      <w:pPr>
        <w:numPr>
          <w:ilvl w:val="0"/>
          <w:numId w:val="2"/>
        </w:numPr>
        <w:spacing w:before="240" w:after="360" w:line="360" w:lineRule="auto"/>
        <w:contextualSpacing/>
        <w:jc w:val="both"/>
        <w:rPr>
          <w:sz w:val="24"/>
        </w:rPr>
      </w:pPr>
      <w:r>
        <w:rPr>
          <w:sz w:val="24"/>
        </w:rPr>
        <w:t>25</w:t>
      </w:r>
      <w:r w:rsidR="00E254AF">
        <w:rPr>
          <w:sz w:val="24"/>
        </w:rPr>
        <w:t>%</w:t>
      </w:r>
      <w:r w:rsidR="00267026" w:rsidRPr="00406B94">
        <w:rPr>
          <w:sz w:val="24"/>
        </w:rPr>
        <w:t xml:space="preserve"> of the value of contract awards valued between $5 million and at or below</w:t>
      </w:r>
      <w:r w:rsidR="00B37555">
        <w:rPr>
          <w:sz w:val="24"/>
        </w:rPr>
        <w:t xml:space="preserve"> $25 million (over </w:t>
      </w:r>
      <w:r>
        <w:rPr>
          <w:sz w:val="24"/>
        </w:rPr>
        <w:t>$476.5</w:t>
      </w:r>
      <w:r w:rsidR="00E254AF">
        <w:rPr>
          <w:sz w:val="24"/>
        </w:rPr>
        <w:t xml:space="preserve"> million</w:t>
      </w:r>
      <w:r w:rsidR="00267026">
        <w:rPr>
          <w:sz w:val="24"/>
        </w:rPr>
        <w:t>).</w:t>
      </w:r>
    </w:p>
    <w:p w:rsidR="00267026" w:rsidRPr="000D51C4" w:rsidRDefault="00267026" w:rsidP="00267026">
      <w:pPr>
        <w:spacing w:before="240" w:after="360" w:line="360" w:lineRule="auto"/>
        <w:jc w:val="both"/>
        <w:rPr>
          <w:sz w:val="24"/>
        </w:rPr>
      </w:pPr>
      <w:r w:rsidRPr="00406B94">
        <w:rPr>
          <w:rFonts w:ascii="Calibri" w:hAnsi="Calibri"/>
          <w:sz w:val="24"/>
          <w:szCs w:val="24"/>
        </w:rPr>
        <w:t>Agency-by-agency and certification category</w:t>
      </w:r>
      <w:r w:rsidRPr="000D51C4">
        <w:rPr>
          <w:rFonts w:ascii="Calibri" w:hAnsi="Calibri"/>
          <w:sz w:val="24"/>
          <w:szCs w:val="24"/>
        </w:rPr>
        <w:t xml:space="preserve"> details corresponding to Table 1 above are included in the Appendices to this report (Tables A - B).</w:t>
      </w:r>
    </w:p>
    <w:p w:rsidR="00267026" w:rsidRPr="00406B94" w:rsidRDefault="00267026" w:rsidP="00267026">
      <w:pPr>
        <w:spacing w:before="240" w:after="360" w:line="360" w:lineRule="auto"/>
        <w:jc w:val="both"/>
        <w:rPr>
          <w:rFonts w:ascii="Calibri" w:hAnsi="Calibri"/>
          <w:sz w:val="24"/>
          <w:szCs w:val="24"/>
        </w:rPr>
      </w:pPr>
      <w:r w:rsidRPr="00406B94">
        <w:rPr>
          <w:rFonts w:ascii="Calibri" w:hAnsi="Calibri"/>
          <w:sz w:val="24"/>
          <w:szCs w:val="24"/>
        </w:rPr>
        <w:t xml:space="preserve">Most prime contracts reflected in the data (except the professional services contracts, for example) are required by New York State law to be procured via competitive sealed bid.  Under General Municipal Law (GML) § 103, agencies must, for the majority of the contracts covered by the program, accept the lowest responsible bid and may not give a bidder preference because of its M/WBE status. City agencies’ efforts to achieve their M/WBE participation goals through prime contract awards are thus limited to such means as increased outreach and training aimed at encouraging M/WBEs to bid successfully on various </w:t>
      </w:r>
      <w:r w:rsidRPr="00406B94">
        <w:rPr>
          <w:rFonts w:ascii="Calibri" w:hAnsi="Calibri"/>
          <w:sz w:val="24"/>
          <w:szCs w:val="24"/>
        </w:rPr>
        <w:lastRenderedPageBreak/>
        <w:t>procurements.  Even for procurements not covered by GML § 103, such as professional services contracts, GML § 104-b precludes agencies from pursuing social policy goals unrelated to the procurement of goods and services, including M/WBE status.  Thus, the citywide goals for prime contract awards must be viewed as aspirational, and agencies’ performance may only be evaluated in terms of their efforts to make progress toward achieving the goals in light of the limited tools available to them for that purpose.</w:t>
      </w:r>
    </w:p>
    <w:p w:rsidR="00267026" w:rsidRPr="00CA216D" w:rsidRDefault="00267026" w:rsidP="00267026">
      <w:pPr>
        <w:spacing w:after="360" w:line="360" w:lineRule="auto"/>
        <w:jc w:val="both"/>
        <w:rPr>
          <w:rFonts w:ascii="Calibri" w:hAnsi="Calibri"/>
          <w:sz w:val="24"/>
          <w:szCs w:val="26"/>
          <w:u w:val="single"/>
        </w:rPr>
      </w:pPr>
      <w:r w:rsidRPr="00CA216D">
        <w:rPr>
          <w:rFonts w:ascii="Calibri" w:hAnsi="Calibri"/>
          <w:sz w:val="24"/>
          <w:szCs w:val="26"/>
          <w:u w:val="single"/>
        </w:rPr>
        <w:t>Prime Contracts with M/WBE Participation Goals</w:t>
      </w:r>
    </w:p>
    <w:p w:rsidR="00267026" w:rsidRPr="00406B94" w:rsidRDefault="00267026" w:rsidP="00267026">
      <w:pPr>
        <w:spacing w:after="360" w:line="360" w:lineRule="auto"/>
        <w:jc w:val="both"/>
        <w:rPr>
          <w:rFonts w:ascii="Calibri" w:hAnsi="Calibri"/>
          <w:sz w:val="24"/>
          <w:szCs w:val="24"/>
        </w:rPr>
      </w:pPr>
      <w:r w:rsidRPr="00406B94">
        <w:rPr>
          <w:rFonts w:ascii="Calibri" w:hAnsi="Calibri"/>
          <w:sz w:val="24"/>
          <w:szCs w:val="24"/>
        </w:rPr>
        <w:t>Under the M/WBE program, larger prime contracts with anticipated subcontracting are subject to participation goals and must be reported on pursuant to §6-129(l)(b)(</w:t>
      </w:r>
      <w:proofErr w:type="spellStart"/>
      <w:r w:rsidRPr="00406B94">
        <w:rPr>
          <w:rFonts w:ascii="Calibri" w:hAnsi="Calibri"/>
          <w:sz w:val="24"/>
          <w:szCs w:val="24"/>
        </w:rPr>
        <w:t>i</w:t>
      </w:r>
      <w:proofErr w:type="spellEnd"/>
      <w:r w:rsidRPr="00406B94">
        <w:rPr>
          <w:rFonts w:ascii="Calibri" w:hAnsi="Calibri"/>
          <w:sz w:val="24"/>
          <w:szCs w:val="24"/>
        </w:rPr>
        <w:t xml:space="preserve">).  During the reporting period, </w:t>
      </w:r>
      <w:r w:rsidRPr="002C4ED8">
        <w:rPr>
          <w:rFonts w:ascii="Calibri" w:hAnsi="Calibri"/>
          <w:sz w:val="24"/>
          <w:szCs w:val="24"/>
        </w:rPr>
        <w:t xml:space="preserve">agencies awarded </w:t>
      </w:r>
      <w:r w:rsidR="00387D67">
        <w:rPr>
          <w:rFonts w:ascii="Calibri" w:hAnsi="Calibri"/>
          <w:sz w:val="24"/>
          <w:szCs w:val="24"/>
        </w:rPr>
        <w:t>302</w:t>
      </w:r>
      <w:r w:rsidRPr="002C4ED8">
        <w:rPr>
          <w:rFonts w:ascii="Calibri" w:hAnsi="Calibri"/>
          <w:sz w:val="24"/>
          <w:szCs w:val="24"/>
        </w:rPr>
        <w:t xml:space="preserve"> new prime contracts subject to M/WBE participation requirements</w:t>
      </w:r>
      <w:r>
        <w:rPr>
          <w:rFonts w:ascii="Calibri" w:hAnsi="Calibri"/>
          <w:sz w:val="24"/>
          <w:szCs w:val="24"/>
        </w:rPr>
        <w:t xml:space="preserve"> with</w:t>
      </w:r>
      <w:r w:rsidRPr="002C4ED8">
        <w:rPr>
          <w:rFonts w:ascii="Calibri" w:hAnsi="Calibri"/>
          <w:sz w:val="24"/>
          <w:szCs w:val="24"/>
        </w:rPr>
        <w:t xml:space="preserve"> </w:t>
      </w:r>
      <w:r w:rsidR="00387D67">
        <w:rPr>
          <w:rFonts w:ascii="Calibri" w:hAnsi="Calibri"/>
          <w:sz w:val="24"/>
          <w:szCs w:val="24"/>
        </w:rPr>
        <w:t>9</w:t>
      </w:r>
      <w:r w:rsidRPr="002C4ED8">
        <w:rPr>
          <w:rFonts w:ascii="Calibri" w:hAnsi="Calibri"/>
          <w:sz w:val="24"/>
          <w:szCs w:val="24"/>
        </w:rPr>
        <w:t xml:space="preserve"> percent of the</w:t>
      </w:r>
      <w:r w:rsidRPr="00406B94">
        <w:rPr>
          <w:rFonts w:ascii="Calibri" w:hAnsi="Calibri"/>
          <w:sz w:val="24"/>
          <w:szCs w:val="24"/>
        </w:rPr>
        <w:t xml:space="preserve"> value of those awards made to certified M/WBE firms.</w:t>
      </w:r>
    </w:p>
    <w:p w:rsidR="00267026" w:rsidRPr="00406B94" w:rsidRDefault="00267026" w:rsidP="00267026">
      <w:pPr>
        <w:spacing w:before="480" w:after="360" w:line="360" w:lineRule="auto"/>
        <w:jc w:val="both"/>
        <w:rPr>
          <w:rFonts w:ascii="Calibri" w:hAnsi="Calibri"/>
          <w:sz w:val="24"/>
          <w:szCs w:val="24"/>
        </w:rPr>
      </w:pPr>
      <w:r w:rsidRPr="00406B94">
        <w:rPr>
          <w:rFonts w:ascii="Calibri" w:hAnsi="Calibri"/>
          <w:b/>
          <w:sz w:val="26"/>
          <w:szCs w:val="26"/>
        </w:rPr>
        <w:t>Subcontract M/WBE Utilization</w:t>
      </w:r>
    </w:p>
    <w:p w:rsidR="00267026" w:rsidRDefault="00267026" w:rsidP="00792FF4">
      <w:pPr>
        <w:spacing w:line="360" w:lineRule="auto"/>
        <w:jc w:val="both"/>
        <w:rPr>
          <w:rFonts w:ascii="Calibri" w:hAnsi="Calibri"/>
          <w:sz w:val="24"/>
          <w:szCs w:val="24"/>
        </w:rPr>
      </w:pPr>
      <w:r w:rsidRPr="00406B94">
        <w:rPr>
          <w:rFonts w:ascii="Calibri" w:hAnsi="Calibri"/>
          <w:sz w:val="24"/>
          <w:szCs w:val="24"/>
        </w:rPr>
        <w:t xml:space="preserve">M/WBE utilization with respect to approved subcontracts during the reporting period is demonstrated in Table 2 below.  As shown, of the </w:t>
      </w:r>
      <w:r w:rsidR="003927AC">
        <w:rPr>
          <w:rFonts w:ascii="Calibri" w:hAnsi="Calibri"/>
          <w:sz w:val="24"/>
          <w:szCs w:val="24"/>
        </w:rPr>
        <w:t xml:space="preserve">1,376 </w:t>
      </w:r>
      <w:r w:rsidRPr="00406B94">
        <w:rPr>
          <w:rFonts w:ascii="Calibri" w:hAnsi="Calibri"/>
          <w:sz w:val="24"/>
          <w:szCs w:val="24"/>
        </w:rPr>
        <w:t>approved subcontracts</w:t>
      </w:r>
      <w:r>
        <w:rPr>
          <w:rFonts w:ascii="Calibri" w:hAnsi="Calibri"/>
          <w:sz w:val="24"/>
          <w:szCs w:val="24"/>
        </w:rPr>
        <w:t xml:space="preserve"> related to contracts subject to the program</w:t>
      </w:r>
      <w:r w:rsidRPr="00406B94">
        <w:rPr>
          <w:rFonts w:ascii="Calibri" w:hAnsi="Calibri"/>
          <w:sz w:val="24"/>
          <w:szCs w:val="24"/>
        </w:rPr>
        <w:t xml:space="preserve">, </w:t>
      </w:r>
      <w:r w:rsidR="003927AC">
        <w:rPr>
          <w:rFonts w:ascii="Calibri" w:hAnsi="Calibri"/>
          <w:sz w:val="24"/>
          <w:szCs w:val="24"/>
        </w:rPr>
        <w:t>603</w:t>
      </w:r>
      <w:r>
        <w:rPr>
          <w:rFonts w:ascii="Calibri" w:hAnsi="Calibri"/>
          <w:sz w:val="24"/>
          <w:szCs w:val="24"/>
        </w:rPr>
        <w:t xml:space="preserve"> </w:t>
      </w:r>
      <w:r w:rsidRPr="00406B94">
        <w:rPr>
          <w:rFonts w:ascii="Calibri" w:hAnsi="Calibri"/>
          <w:sz w:val="24"/>
          <w:szCs w:val="24"/>
        </w:rPr>
        <w:t xml:space="preserve">were awarded to M/WBE firms.  The approved subcontracts awarded to M/WBEs amounted to </w:t>
      </w:r>
      <w:r w:rsidR="003927AC">
        <w:rPr>
          <w:rFonts w:ascii="Calibri" w:hAnsi="Calibri"/>
          <w:sz w:val="24"/>
          <w:szCs w:val="24"/>
        </w:rPr>
        <w:t>over</w:t>
      </w:r>
      <w:r>
        <w:rPr>
          <w:rFonts w:ascii="Calibri" w:hAnsi="Calibri"/>
          <w:sz w:val="24"/>
          <w:szCs w:val="24"/>
        </w:rPr>
        <w:t xml:space="preserve"> </w:t>
      </w:r>
      <w:r w:rsidR="003927AC">
        <w:rPr>
          <w:rFonts w:ascii="Calibri" w:hAnsi="Calibri"/>
          <w:sz w:val="24"/>
          <w:szCs w:val="24"/>
        </w:rPr>
        <w:t>$145</w:t>
      </w:r>
      <w:r w:rsidR="00E254AF">
        <w:rPr>
          <w:rFonts w:ascii="Calibri" w:hAnsi="Calibri"/>
          <w:sz w:val="24"/>
          <w:szCs w:val="24"/>
        </w:rPr>
        <w:t xml:space="preserve"> </w:t>
      </w:r>
      <w:r w:rsidR="00E30234">
        <w:rPr>
          <w:rFonts w:ascii="Calibri" w:hAnsi="Calibri"/>
          <w:sz w:val="24"/>
          <w:szCs w:val="24"/>
        </w:rPr>
        <w:t>million and</w:t>
      </w:r>
      <w:r w:rsidRPr="004F45C3">
        <w:rPr>
          <w:rFonts w:ascii="Calibri" w:hAnsi="Calibri"/>
          <w:sz w:val="24"/>
          <w:szCs w:val="24"/>
        </w:rPr>
        <w:t xml:space="preserve"> represent </w:t>
      </w:r>
      <w:r w:rsidR="003927AC">
        <w:rPr>
          <w:rFonts w:ascii="Calibri" w:hAnsi="Calibri"/>
          <w:sz w:val="24"/>
          <w:szCs w:val="24"/>
        </w:rPr>
        <w:t>29</w:t>
      </w:r>
      <w:r w:rsidR="00E254AF">
        <w:rPr>
          <w:rFonts w:ascii="Calibri" w:hAnsi="Calibri"/>
          <w:sz w:val="24"/>
          <w:szCs w:val="24"/>
        </w:rPr>
        <w:t>%</w:t>
      </w:r>
      <w:r w:rsidRPr="004F45C3">
        <w:rPr>
          <w:rFonts w:ascii="Calibri" w:hAnsi="Calibri"/>
          <w:sz w:val="24"/>
          <w:szCs w:val="24"/>
        </w:rPr>
        <w:t xml:space="preserve"> of the value of all qualifying subcontracts. For more details, see Appendices – Ta</w:t>
      </w:r>
      <w:r w:rsidR="00F61C35">
        <w:rPr>
          <w:rFonts w:ascii="Calibri" w:hAnsi="Calibri"/>
          <w:sz w:val="24"/>
          <w:szCs w:val="24"/>
        </w:rPr>
        <w:t>ble</w:t>
      </w:r>
      <w:r w:rsidR="00162399">
        <w:rPr>
          <w:rFonts w:ascii="Calibri" w:hAnsi="Calibri"/>
          <w:sz w:val="24"/>
          <w:szCs w:val="24"/>
        </w:rPr>
        <w:t>s</w:t>
      </w:r>
      <w:r w:rsidR="00F61C35">
        <w:rPr>
          <w:rFonts w:ascii="Calibri" w:hAnsi="Calibri"/>
          <w:sz w:val="24"/>
          <w:szCs w:val="24"/>
        </w:rPr>
        <w:t xml:space="preserve"> E - F</w:t>
      </w:r>
      <w:r w:rsidRPr="004F45C3">
        <w:rPr>
          <w:rFonts w:ascii="Calibri" w:hAnsi="Calibri"/>
          <w:sz w:val="24"/>
          <w:szCs w:val="24"/>
        </w:rPr>
        <w:t>.</w:t>
      </w:r>
    </w:p>
    <w:p w:rsidR="00443BB0" w:rsidRDefault="00443BB0">
      <w:pPr>
        <w:spacing w:after="200" w:line="276" w:lineRule="auto"/>
        <w:rPr>
          <w:rFonts w:ascii="Calibri" w:hAnsi="Calibri"/>
          <w:sz w:val="24"/>
          <w:szCs w:val="24"/>
        </w:rPr>
      </w:pPr>
      <w:r>
        <w:rPr>
          <w:rFonts w:ascii="Calibri" w:hAnsi="Calibri"/>
          <w:sz w:val="24"/>
          <w:szCs w:val="24"/>
        </w:rPr>
        <w:br w:type="page"/>
      </w:r>
    </w:p>
    <w:p w:rsidR="00443BB0" w:rsidRDefault="00443BB0" w:rsidP="00792FF4">
      <w:pPr>
        <w:spacing w:line="360" w:lineRule="auto"/>
        <w:jc w:val="both"/>
        <w:rPr>
          <w:rFonts w:ascii="Calibri" w:hAnsi="Calibri"/>
          <w:sz w:val="24"/>
          <w:szCs w:val="24"/>
        </w:rPr>
      </w:pPr>
    </w:p>
    <w:tbl>
      <w:tblPr>
        <w:tblpPr w:leftFromText="180" w:rightFromText="180" w:vertAnchor="text" w:horzAnchor="margin" w:tblpY="42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1172"/>
        <w:gridCol w:w="2045"/>
        <w:gridCol w:w="920"/>
        <w:gridCol w:w="1171"/>
        <w:gridCol w:w="2216"/>
      </w:tblGrid>
      <w:tr w:rsidR="00CC1FDD" w:rsidRPr="004F6D5A" w:rsidTr="001D6CDF">
        <w:trPr>
          <w:trHeight w:val="20"/>
        </w:trPr>
        <w:tc>
          <w:tcPr>
            <w:tcW w:w="5000" w:type="pct"/>
            <w:gridSpan w:val="6"/>
            <w:shd w:val="clear" w:color="auto" w:fill="4BACC6" w:themeFill="accent5"/>
            <w:noWrap/>
            <w:vAlign w:val="bottom"/>
            <w:hideMark/>
          </w:tcPr>
          <w:p w:rsidR="00CC1FDD" w:rsidRPr="004F6D5A" w:rsidRDefault="00CC1FDD" w:rsidP="001D6CDF">
            <w:pPr>
              <w:jc w:val="center"/>
              <w:rPr>
                <w:rFonts w:ascii="Calibri" w:eastAsia="Times New Roman" w:hAnsi="Calibri" w:cs="Times New Roman"/>
                <w:b/>
                <w:bCs/>
                <w:color w:val="000000"/>
                <w:sz w:val="28"/>
                <w:szCs w:val="28"/>
              </w:rPr>
            </w:pPr>
            <w:r>
              <w:rPr>
                <w:rFonts w:ascii="Calibri" w:eastAsia="Times New Roman" w:hAnsi="Calibri" w:cs="Times New Roman"/>
                <w:b/>
                <w:bCs/>
                <w:color w:val="000000"/>
                <w:sz w:val="24"/>
                <w:szCs w:val="24"/>
              </w:rPr>
              <w:t>Table 2 - FY 2017 Q1 to Q3</w:t>
            </w:r>
            <w:r w:rsidRPr="00ED0864">
              <w:rPr>
                <w:rFonts w:ascii="Calibri" w:eastAsia="Times New Roman" w:hAnsi="Calibri" w:cs="Times New Roman"/>
                <w:b/>
                <w:bCs/>
                <w:color w:val="000000"/>
                <w:sz w:val="24"/>
                <w:szCs w:val="24"/>
              </w:rPr>
              <w:t xml:space="preserve"> - Subcontracts Utilization by Industry</w:t>
            </w:r>
          </w:p>
        </w:tc>
      </w:tr>
      <w:tr w:rsidR="00CC1FDD" w:rsidRPr="004F6D5A" w:rsidTr="001D6CDF">
        <w:trPr>
          <w:trHeight w:val="269"/>
        </w:trPr>
        <w:tc>
          <w:tcPr>
            <w:tcW w:w="1493" w:type="pct"/>
            <w:vMerge w:val="restart"/>
            <w:shd w:val="clear" w:color="auto" w:fill="B6DDE8" w:themeFill="accent5" w:themeFillTint="66"/>
            <w:noWrap/>
            <w:vAlign w:val="center"/>
            <w:hideMark/>
          </w:tcPr>
          <w:p w:rsidR="00CC1FDD" w:rsidRPr="00650F1B" w:rsidRDefault="00CC1FDD" w:rsidP="001D6CDF">
            <w:pPr>
              <w:jc w:val="center"/>
              <w:rPr>
                <w:rFonts w:ascii="Calibri" w:eastAsia="Times New Roman" w:hAnsi="Calibri" w:cs="Times New Roman"/>
                <w:b/>
                <w:bCs/>
                <w:color w:val="000000"/>
              </w:rPr>
            </w:pPr>
            <w:r w:rsidRPr="00650F1B">
              <w:rPr>
                <w:rFonts w:ascii="Calibri" w:eastAsia="Times New Roman" w:hAnsi="Calibri" w:cs="Times New Roman"/>
                <w:b/>
                <w:bCs/>
                <w:color w:val="000000"/>
              </w:rPr>
              <w:t>Industry/Size Group</w:t>
            </w:r>
          </w:p>
        </w:tc>
        <w:tc>
          <w:tcPr>
            <w:tcW w:w="1928" w:type="pct"/>
            <w:gridSpan w:val="3"/>
            <w:vMerge w:val="restart"/>
            <w:shd w:val="clear" w:color="auto" w:fill="B6DDE8" w:themeFill="accent5" w:themeFillTint="66"/>
            <w:noWrap/>
            <w:vAlign w:val="center"/>
            <w:hideMark/>
          </w:tcPr>
          <w:p w:rsidR="00CC1FDD" w:rsidRPr="00650F1B" w:rsidRDefault="00CC1FDD" w:rsidP="001D6CDF">
            <w:pPr>
              <w:jc w:val="center"/>
              <w:rPr>
                <w:rFonts w:ascii="Calibri" w:eastAsia="Times New Roman" w:hAnsi="Calibri" w:cs="Times New Roman"/>
                <w:b/>
                <w:bCs/>
                <w:color w:val="000000"/>
              </w:rPr>
            </w:pPr>
            <w:r w:rsidRPr="00650F1B">
              <w:rPr>
                <w:rFonts w:ascii="Calibri" w:eastAsia="Times New Roman" w:hAnsi="Calibri" w:cs="Times New Roman"/>
                <w:b/>
                <w:bCs/>
                <w:color w:val="000000"/>
              </w:rPr>
              <w:t>M/WBE</w:t>
            </w:r>
          </w:p>
        </w:tc>
        <w:tc>
          <w:tcPr>
            <w:tcW w:w="1579" w:type="pct"/>
            <w:gridSpan w:val="2"/>
            <w:vMerge w:val="restart"/>
            <w:shd w:val="clear" w:color="auto" w:fill="B6DDE8" w:themeFill="accent5" w:themeFillTint="66"/>
            <w:noWrap/>
            <w:vAlign w:val="center"/>
            <w:hideMark/>
          </w:tcPr>
          <w:p w:rsidR="00CC1FDD" w:rsidRPr="00650F1B" w:rsidRDefault="00CC1FDD" w:rsidP="001D6CDF">
            <w:pPr>
              <w:jc w:val="center"/>
              <w:rPr>
                <w:rFonts w:ascii="Calibri" w:eastAsia="Times New Roman" w:hAnsi="Calibri" w:cs="Times New Roman"/>
                <w:b/>
                <w:bCs/>
                <w:color w:val="000000"/>
              </w:rPr>
            </w:pPr>
            <w:r w:rsidRPr="00650F1B">
              <w:rPr>
                <w:rFonts w:ascii="Calibri" w:eastAsia="Times New Roman" w:hAnsi="Calibri" w:cs="Times New Roman"/>
                <w:b/>
                <w:bCs/>
                <w:color w:val="000000"/>
              </w:rPr>
              <w:t xml:space="preserve">Total </w:t>
            </w:r>
          </w:p>
        </w:tc>
      </w:tr>
      <w:tr w:rsidR="00CC1FDD" w:rsidRPr="004F6D5A" w:rsidTr="001D6CDF">
        <w:trPr>
          <w:trHeight w:val="269"/>
        </w:trPr>
        <w:tc>
          <w:tcPr>
            <w:tcW w:w="1493" w:type="pct"/>
            <w:vMerge/>
            <w:shd w:val="clear" w:color="auto" w:fill="B6DDE8" w:themeFill="accent5" w:themeFillTint="66"/>
            <w:vAlign w:val="center"/>
            <w:hideMark/>
          </w:tcPr>
          <w:p w:rsidR="00CC1FDD" w:rsidRPr="00650F1B" w:rsidRDefault="00CC1FDD" w:rsidP="001D6CDF">
            <w:pPr>
              <w:rPr>
                <w:rFonts w:ascii="Calibri" w:eastAsia="Times New Roman" w:hAnsi="Calibri" w:cs="Times New Roman"/>
                <w:b/>
                <w:bCs/>
                <w:color w:val="000000"/>
              </w:rPr>
            </w:pPr>
          </w:p>
        </w:tc>
        <w:tc>
          <w:tcPr>
            <w:tcW w:w="1928" w:type="pct"/>
            <w:gridSpan w:val="3"/>
            <w:vMerge/>
            <w:shd w:val="clear" w:color="auto" w:fill="B6DDE8" w:themeFill="accent5" w:themeFillTint="66"/>
            <w:vAlign w:val="center"/>
            <w:hideMark/>
          </w:tcPr>
          <w:p w:rsidR="00CC1FDD" w:rsidRPr="00650F1B" w:rsidRDefault="00CC1FDD" w:rsidP="001D6CDF">
            <w:pPr>
              <w:rPr>
                <w:rFonts w:ascii="Calibri" w:eastAsia="Times New Roman" w:hAnsi="Calibri" w:cs="Times New Roman"/>
                <w:b/>
                <w:bCs/>
                <w:color w:val="000000"/>
              </w:rPr>
            </w:pPr>
          </w:p>
        </w:tc>
        <w:tc>
          <w:tcPr>
            <w:tcW w:w="1579" w:type="pct"/>
            <w:gridSpan w:val="2"/>
            <w:vMerge/>
            <w:shd w:val="clear" w:color="auto" w:fill="B6DDE8" w:themeFill="accent5" w:themeFillTint="66"/>
            <w:vAlign w:val="center"/>
            <w:hideMark/>
          </w:tcPr>
          <w:p w:rsidR="00CC1FDD" w:rsidRPr="00650F1B" w:rsidRDefault="00CC1FDD" w:rsidP="001D6CDF">
            <w:pPr>
              <w:rPr>
                <w:rFonts w:ascii="Calibri" w:eastAsia="Times New Roman" w:hAnsi="Calibri" w:cs="Times New Roman"/>
                <w:b/>
                <w:bCs/>
                <w:color w:val="000000"/>
              </w:rPr>
            </w:pPr>
          </w:p>
        </w:tc>
      </w:tr>
      <w:tr w:rsidR="00CC1FDD" w:rsidRPr="004F6D5A" w:rsidTr="001D6CDF">
        <w:trPr>
          <w:trHeight w:val="20"/>
        </w:trPr>
        <w:tc>
          <w:tcPr>
            <w:tcW w:w="1493" w:type="pct"/>
            <w:vMerge/>
            <w:shd w:val="clear" w:color="auto" w:fill="B6DDE8" w:themeFill="accent5" w:themeFillTint="66"/>
            <w:vAlign w:val="center"/>
            <w:hideMark/>
          </w:tcPr>
          <w:p w:rsidR="00CC1FDD" w:rsidRPr="00650F1B" w:rsidRDefault="00CC1FDD" w:rsidP="001D6CDF">
            <w:pPr>
              <w:rPr>
                <w:rFonts w:ascii="Calibri" w:eastAsia="Times New Roman" w:hAnsi="Calibri" w:cs="Times New Roman"/>
                <w:b/>
                <w:bCs/>
                <w:color w:val="000000"/>
              </w:rPr>
            </w:pPr>
          </w:p>
        </w:tc>
        <w:tc>
          <w:tcPr>
            <w:tcW w:w="546" w:type="pct"/>
            <w:shd w:val="clear" w:color="auto" w:fill="B6DDE8" w:themeFill="accent5" w:themeFillTint="66"/>
            <w:noWrap/>
            <w:vAlign w:val="center"/>
            <w:hideMark/>
          </w:tcPr>
          <w:p w:rsidR="00CC1FDD" w:rsidRPr="00650F1B" w:rsidRDefault="00CC1FDD" w:rsidP="001D6CDF">
            <w:pPr>
              <w:jc w:val="center"/>
              <w:rPr>
                <w:rFonts w:ascii="Calibri" w:eastAsia="Times New Roman" w:hAnsi="Calibri" w:cs="Times New Roman"/>
                <w:b/>
                <w:bCs/>
                <w:color w:val="000000"/>
              </w:rPr>
            </w:pPr>
            <w:r w:rsidRPr="00650F1B">
              <w:rPr>
                <w:rFonts w:ascii="Calibri" w:eastAsia="Times New Roman" w:hAnsi="Calibri" w:cs="Times New Roman"/>
                <w:b/>
                <w:bCs/>
                <w:color w:val="000000"/>
              </w:rPr>
              <w:t>Count</w:t>
            </w:r>
          </w:p>
        </w:tc>
        <w:tc>
          <w:tcPr>
            <w:tcW w:w="953" w:type="pct"/>
            <w:shd w:val="clear" w:color="auto" w:fill="B6DDE8" w:themeFill="accent5" w:themeFillTint="66"/>
            <w:noWrap/>
            <w:vAlign w:val="center"/>
            <w:hideMark/>
          </w:tcPr>
          <w:p w:rsidR="00CC1FDD" w:rsidRPr="00650F1B" w:rsidRDefault="00CC1FDD" w:rsidP="001D6CDF">
            <w:pPr>
              <w:jc w:val="center"/>
              <w:rPr>
                <w:rFonts w:ascii="Calibri" w:eastAsia="Times New Roman" w:hAnsi="Calibri" w:cs="Times New Roman"/>
                <w:b/>
                <w:bCs/>
                <w:color w:val="000000"/>
              </w:rPr>
            </w:pPr>
            <w:r w:rsidRPr="00650F1B">
              <w:rPr>
                <w:rFonts w:ascii="Calibri" w:eastAsia="Times New Roman" w:hAnsi="Calibri" w:cs="Times New Roman"/>
                <w:b/>
                <w:bCs/>
                <w:color w:val="000000"/>
              </w:rPr>
              <w:t>Value</w:t>
            </w:r>
          </w:p>
        </w:tc>
        <w:tc>
          <w:tcPr>
            <w:tcW w:w="429" w:type="pct"/>
            <w:shd w:val="clear" w:color="auto" w:fill="B6DDE8" w:themeFill="accent5" w:themeFillTint="66"/>
            <w:noWrap/>
            <w:vAlign w:val="center"/>
            <w:hideMark/>
          </w:tcPr>
          <w:p w:rsidR="00CC1FDD" w:rsidRPr="00650F1B" w:rsidRDefault="00CC1FDD" w:rsidP="001D6CDF">
            <w:pPr>
              <w:jc w:val="center"/>
              <w:rPr>
                <w:rFonts w:ascii="Calibri" w:eastAsia="Times New Roman" w:hAnsi="Calibri" w:cs="Times New Roman"/>
                <w:b/>
                <w:bCs/>
                <w:color w:val="000000"/>
              </w:rPr>
            </w:pPr>
            <w:r w:rsidRPr="00650F1B">
              <w:rPr>
                <w:rFonts w:ascii="Calibri" w:eastAsia="Times New Roman" w:hAnsi="Calibri" w:cs="Times New Roman"/>
                <w:b/>
                <w:bCs/>
                <w:color w:val="000000"/>
              </w:rPr>
              <w:t>%</w:t>
            </w:r>
          </w:p>
        </w:tc>
        <w:tc>
          <w:tcPr>
            <w:tcW w:w="546" w:type="pct"/>
            <w:shd w:val="clear" w:color="auto" w:fill="B6DDE8" w:themeFill="accent5" w:themeFillTint="66"/>
            <w:noWrap/>
            <w:vAlign w:val="center"/>
            <w:hideMark/>
          </w:tcPr>
          <w:p w:rsidR="00CC1FDD" w:rsidRPr="00650F1B" w:rsidRDefault="00CC1FDD" w:rsidP="001D6CDF">
            <w:pPr>
              <w:jc w:val="center"/>
              <w:rPr>
                <w:rFonts w:ascii="Calibri" w:eastAsia="Times New Roman" w:hAnsi="Calibri" w:cs="Times New Roman"/>
                <w:b/>
                <w:bCs/>
                <w:color w:val="000000"/>
              </w:rPr>
            </w:pPr>
            <w:r w:rsidRPr="00650F1B">
              <w:rPr>
                <w:rFonts w:ascii="Calibri" w:eastAsia="Times New Roman" w:hAnsi="Calibri" w:cs="Times New Roman"/>
                <w:b/>
                <w:bCs/>
                <w:color w:val="000000"/>
              </w:rPr>
              <w:t>Count</w:t>
            </w:r>
          </w:p>
        </w:tc>
        <w:tc>
          <w:tcPr>
            <w:tcW w:w="1033" w:type="pct"/>
            <w:shd w:val="clear" w:color="auto" w:fill="B6DDE8" w:themeFill="accent5" w:themeFillTint="66"/>
            <w:noWrap/>
            <w:vAlign w:val="center"/>
            <w:hideMark/>
          </w:tcPr>
          <w:p w:rsidR="00CC1FDD" w:rsidRPr="00650F1B" w:rsidRDefault="00CC1FDD" w:rsidP="001D6CDF">
            <w:pPr>
              <w:jc w:val="center"/>
              <w:rPr>
                <w:rFonts w:ascii="Calibri" w:eastAsia="Times New Roman" w:hAnsi="Calibri" w:cs="Times New Roman"/>
                <w:b/>
                <w:bCs/>
                <w:color w:val="000000"/>
              </w:rPr>
            </w:pPr>
            <w:r w:rsidRPr="00650F1B">
              <w:rPr>
                <w:rFonts w:ascii="Calibri" w:eastAsia="Times New Roman" w:hAnsi="Calibri" w:cs="Times New Roman"/>
                <w:b/>
                <w:bCs/>
                <w:color w:val="000000"/>
              </w:rPr>
              <w:t>Value</w:t>
            </w:r>
          </w:p>
        </w:tc>
      </w:tr>
      <w:tr w:rsidR="00CC1FDD" w:rsidRPr="004F6D5A" w:rsidTr="001D6CDF">
        <w:trPr>
          <w:trHeight w:val="20"/>
        </w:trPr>
        <w:tc>
          <w:tcPr>
            <w:tcW w:w="1493" w:type="pct"/>
            <w:shd w:val="clear" w:color="auto" w:fill="DAEEF3" w:themeFill="accent5" w:themeFillTint="33"/>
            <w:noWrap/>
            <w:vAlign w:val="bottom"/>
            <w:hideMark/>
          </w:tcPr>
          <w:p w:rsidR="00CC1FDD" w:rsidRPr="00650F1B" w:rsidRDefault="00CC1FDD" w:rsidP="001D6CDF">
            <w:pPr>
              <w:rPr>
                <w:rFonts w:ascii="Calibri" w:eastAsia="Times New Roman" w:hAnsi="Calibri" w:cs="Times New Roman"/>
                <w:b/>
                <w:bCs/>
                <w:color w:val="000000"/>
              </w:rPr>
            </w:pPr>
            <w:r w:rsidRPr="00650F1B">
              <w:rPr>
                <w:rFonts w:ascii="Calibri" w:eastAsia="Times New Roman" w:hAnsi="Calibri" w:cs="Times New Roman"/>
                <w:b/>
                <w:bCs/>
                <w:color w:val="000000"/>
              </w:rPr>
              <w:t>Construction</w:t>
            </w:r>
          </w:p>
        </w:tc>
        <w:tc>
          <w:tcPr>
            <w:tcW w:w="546" w:type="pct"/>
            <w:shd w:val="clear" w:color="auto" w:fill="DAEEF3" w:themeFill="accent5" w:themeFillTint="33"/>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359</w:t>
            </w:r>
          </w:p>
        </w:tc>
        <w:tc>
          <w:tcPr>
            <w:tcW w:w="953" w:type="pct"/>
            <w:shd w:val="clear" w:color="auto" w:fill="DAEEF3" w:themeFill="accent5" w:themeFillTint="33"/>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$92,770,493</w:t>
            </w:r>
          </w:p>
        </w:tc>
        <w:tc>
          <w:tcPr>
            <w:tcW w:w="429" w:type="pct"/>
            <w:shd w:val="clear" w:color="auto" w:fill="DAEEF3" w:themeFill="accent5" w:themeFillTint="33"/>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23%</w:t>
            </w:r>
          </w:p>
        </w:tc>
        <w:tc>
          <w:tcPr>
            <w:tcW w:w="546" w:type="pct"/>
            <w:shd w:val="clear" w:color="auto" w:fill="DAEEF3" w:themeFill="accent5" w:themeFillTint="33"/>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856</w:t>
            </w:r>
          </w:p>
        </w:tc>
        <w:tc>
          <w:tcPr>
            <w:tcW w:w="1033" w:type="pct"/>
            <w:shd w:val="clear" w:color="auto" w:fill="DAEEF3" w:themeFill="accent5" w:themeFillTint="33"/>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$405,412,235</w:t>
            </w:r>
          </w:p>
        </w:tc>
      </w:tr>
      <w:tr w:rsidR="00CC1FDD" w:rsidRPr="004F6D5A" w:rsidTr="001D6CDF">
        <w:trPr>
          <w:trHeight w:val="20"/>
        </w:trPr>
        <w:tc>
          <w:tcPr>
            <w:tcW w:w="1493" w:type="pct"/>
            <w:shd w:val="clear" w:color="auto" w:fill="auto"/>
            <w:noWrap/>
            <w:vAlign w:val="bottom"/>
            <w:hideMark/>
          </w:tcPr>
          <w:p w:rsidR="00CC1FDD" w:rsidRPr="00650F1B" w:rsidRDefault="00CC1FDD" w:rsidP="001D6CDF">
            <w:pPr>
              <w:rPr>
                <w:rFonts w:ascii="Calibri" w:eastAsia="Times New Roman" w:hAnsi="Calibri" w:cs="Times New Roman"/>
                <w:color w:val="000000"/>
              </w:rPr>
            </w:pPr>
            <w:r w:rsidRPr="00650F1B">
              <w:rPr>
                <w:rFonts w:ascii="Calibri" w:eastAsia="Times New Roman" w:hAnsi="Calibri" w:cs="Times New Roman"/>
                <w:color w:val="000000"/>
              </w:rPr>
              <w:t>&lt;=$20K</w:t>
            </w:r>
          </w:p>
        </w:tc>
        <w:tc>
          <w:tcPr>
            <w:tcW w:w="546"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62</w:t>
            </w:r>
          </w:p>
        </w:tc>
        <w:tc>
          <w:tcPr>
            <w:tcW w:w="953"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$672,087</w:t>
            </w:r>
          </w:p>
        </w:tc>
        <w:tc>
          <w:tcPr>
            <w:tcW w:w="429"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31%</w:t>
            </w:r>
          </w:p>
        </w:tc>
        <w:tc>
          <w:tcPr>
            <w:tcW w:w="546"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226</w:t>
            </w:r>
          </w:p>
        </w:tc>
        <w:tc>
          <w:tcPr>
            <w:tcW w:w="1033"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$2,182,765</w:t>
            </w:r>
          </w:p>
        </w:tc>
      </w:tr>
      <w:tr w:rsidR="00CC1FDD" w:rsidRPr="004F6D5A" w:rsidTr="001D6CDF">
        <w:trPr>
          <w:trHeight w:val="20"/>
        </w:trPr>
        <w:tc>
          <w:tcPr>
            <w:tcW w:w="1493" w:type="pct"/>
            <w:shd w:val="clear" w:color="auto" w:fill="auto"/>
            <w:noWrap/>
            <w:vAlign w:val="bottom"/>
            <w:hideMark/>
          </w:tcPr>
          <w:p w:rsidR="00CC1FDD" w:rsidRPr="00650F1B" w:rsidRDefault="00CC1FDD" w:rsidP="001D6CDF">
            <w:pPr>
              <w:rPr>
                <w:rFonts w:ascii="Calibri" w:eastAsia="Times New Roman" w:hAnsi="Calibri" w:cs="Times New Roman"/>
                <w:color w:val="000000"/>
              </w:rPr>
            </w:pPr>
            <w:r w:rsidRPr="00650F1B">
              <w:rPr>
                <w:rFonts w:ascii="Calibri" w:eastAsia="Times New Roman" w:hAnsi="Calibri" w:cs="Times New Roman"/>
                <w:color w:val="000000"/>
              </w:rPr>
              <w:t>&gt;$20K, &lt;=$100K</w:t>
            </w:r>
          </w:p>
        </w:tc>
        <w:tc>
          <w:tcPr>
            <w:tcW w:w="546"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124</w:t>
            </w:r>
          </w:p>
        </w:tc>
        <w:tc>
          <w:tcPr>
            <w:tcW w:w="953"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$6,799,718</w:t>
            </w:r>
          </w:p>
        </w:tc>
        <w:tc>
          <w:tcPr>
            <w:tcW w:w="429"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43%</w:t>
            </w:r>
          </w:p>
        </w:tc>
        <w:tc>
          <w:tcPr>
            <w:tcW w:w="546"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292</w:t>
            </w:r>
          </w:p>
        </w:tc>
        <w:tc>
          <w:tcPr>
            <w:tcW w:w="1033"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$15,798,845</w:t>
            </w:r>
          </w:p>
        </w:tc>
      </w:tr>
      <w:tr w:rsidR="00CC1FDD" w:rsidRPr="004F6D5A" w:rsidTr="001D6CDF">
        <w:trPr>
          <w:trHeight w:val="20"/>
        </w:trPr>
        <w:tc>
          <w:tcPr>
            <w:tcW w:w="1493" w:type="pct"/>
            <w:shd w:val="clear" w:color="auto" w:fill="auto"/>
            <w:noWrap/>
            <w:vAlign w:val="bottom"/>
            <w:hideMark/>
          </w:tcPr>
          <w:p w:rsidR="00CC1FDD" w:rsidRPr="00650F1B" w:rsidRDefault="00CC1FDD" w:rsidP="001D6CDF">
            <w:pPr>
              <w:rPr>
                <w:rFonts w:ascii="Calibri" w:eastAsia="Times New Roman" w:hAnsi="Calibri" w:cs="Times New Roman"/>
                <w:color w:val="000000"/>
              </w:rPr>
            </w:pPr>
            <w:r w:rsidRPr="00650F1B">
              <w:rPr>
                <w:rFonts w:ascii="Calibri" w:eastAsia="Times New Roman" w:hAnsi="Calibri" w:cs="Times New Roman"/>
                <w:color w:val="000000"/>
              </w:rPr>
              <w:t>&gt;$100K, &lt;=$1M</w:t>
            </w:r>
          </w:p>
        </w:tc>
        <w:tc>
          <w:tcPr>
            <w:tcW w:w="546"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160</w:t>
            </w:r>
          </w:p>
        </w:tc>
        <w:tc>
          <w:tcPr>
            <w:tcW w:w="953"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$46,199,398</w:t>
            </w:r>
          </w:p>
        </w:tc>
        <w:tc>
          <w:tcPr>
            <w:tcW w:w="429"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56%</w:t>
            </w:r>
          </w:p>
        </w:tc>
        <w:tc>
          <w:tcPr>
            <w:tcW w:w="546"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285</w:t>
            </w:r>
          </w:p>
        </w:tc>
        <w:tc>
          <w:tcPr>
            <w:tcW w:w="1033"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$82,636,867</w:t>
            </w:r>
          </w:p>
        </w:tc>
      </w:tr>
      <w:tr w:rsidR="00CC1FDD" w:rsidRPr="004F6D5A" w:rsidTr="001D6CDF">
        <w:trPr>
          <w:trHeight w:val="20"/>
        </w:trPr>
        <w:tc>
          <w:tcPr>
            <w:tcW w:w="1493" w:type="pct"/>
            <w:shd w:val="clear" w:color="auto" w:fill="auto"/>
            <w:noWrap/>
            <w:vAlign w:val="bottom"/>
            <w:hideMark/>
          </w:tcPr>
          <w:p w:rsidR="00CC1FDD" w:rsidRPr="00650F1B" w:rsidRDefault="00CC1FDD" w:rsidP="001D6CDF">
            <w:pPr>
              <w:rPr>
                <w:rFonts w:ascii="Calibri" w:eastAsia="Times New Roman" w:hAnsi="Calibri" w:cs="Times New Roman"/>
                <w:color w:val="000000"/>
              </w:rPr>
            </w:pPr>
            <w:r w:rsidRPr="00650F1B">
              <w:rPr>
                <w:rFonts w:ascii="Calibri" w:eastAsia="Times New Roman" w:hAnsi="Calibri" w:cs="Times New Roman"/>
                <w:color w:val="000000"/>
              </w:rPr>
              <w:t>&gt;$1M, &lt;=$5M</w:t>
            </w:r>
          </w:p>
        </w:tc>
        <w:tc>
          <w:tcPr>
            <w:tcW w:w="546"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11</w:t>
            </w:r>
          </w:p>
        </w:tc>
        <w:tc>
          <w:tcPr>
            <w:tcW w:w="953"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$25,386,291</w:t>
            </w:r>
          </w:p>
        </w:tc>
        <w:tc>
          <w:tcPr>
            <w:tcW w:w="429"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28%</w:t>
            </w:r>
          </w:p>
        </w:tc>
        <w:tc>
          <w:tcPr>
            <w:tcW w:w="546"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37</w:t>
            </w:r>
          </w:p>
        </w:tc>
        <w:tc>
          <w:tcPr>
            <w:tcW w:w="1033"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$89,701,872</w:t>
            </w:r>
          </w:p>
        </w:tc>
      </w:tr>
      <w:tr w:rsidR="00CC1FDD" w:rsidRPr="004F6D5A" w:rsidTr="001D6CDF">
        <w:trPr>
          <w:trHeight w:val="20"/>
        </w:trPr>
        <w:tc>
          <w:tcPr>
            <w:tcW w:w="1493" w:type="pct"/>
            <w:shd w:val="clear" w:color="auto" w:fill="auto"/>
            <w:noWrap/>
            <w:vAlign w:val="bottom"/>
            <w:hideMark/>
          </w:tcPr>
          <w:p w:rsidR="00CC1FDD" w:rsidRPr="00650F1B" w:rsidRDefault="00CC1FDD" w:rsidP="001D6CDF">
            <w:pPr>
              <w:rPr>
                <w:rFonts w:ascii="Calibri" w:eastAsia="Times New Roman" w:hAnsi="Calibri" w:cs="Times New Roman"/>
                <w:color w:val="000000"/>
              </w:rPr>
            </w:pPr>
            <w:r w:rsidRPr="00650F1B">
              <w:rPr>
                <w:rFonts w:ascii="Calibri" w:eastAsia="Times New Roman" w:hAnsi="Calibri" w:cs="Times New Roman"/>
                <w:color w:val="000000"/>
              </w:rPr>
              <w:t>&gt;$5M, &lt;=$25M</w:t>
            </w:r>
          </w:p>
        </w:tc>
        <w:tc>
          <w:tcPr>
            <w:tcW w:w="546"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2</w:t>
            </w:r>
          </w:p>
        </w:tc>
        <w:tc>
          <w:tcPr>
            <w:tcW w:w="953"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$13,713,000</w:t>
            </w:r>
          </w:p>
        </w:tc>
        <w:tc>
          <w:tcPr>
            <w:tcW w:w="429"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14%</w:t>
            </w:r>
          </w:p>
        </w:tc>
        <w:tc>
          <w:tcPr>
            <w:tcW w:w="546"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13</w:t>
            </w:r>
          </w:p>
        </w:tc>
        <w:tc>
          <w:tcPr>
            <w:tcW w:w="1033"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$100,359,636</w:t>
            </w:r>
          </w:p>
        </w:tc>
      </w:tr>
      <w:tr w:rsidR="00CC1FDD" w:rsidRPr="004F6D5A" w:rsidTr="001D6CDF">
        <w:trPr>
          <w:trHeight w:val="20"/>
        </w:trPr>
        <w:tc>
          <w:tcPr>
            <w:tcW w:w="1493" w:type="pct"/>
            <w:shd w:val="clear" w:color="auto" w:fill="auto"/>
            <w:noWrap/>
            <w:vAlign w:val="bottom"/>
            <w:hideMark/>
          </w:tcPr>
          <w:p w:rsidR="00CC1FDD" w:rsidRPr="00650F1B" w:rsidRDefault="00CC1FDD" w:rsidP="001D6CDF">
            <w:pPr>
              <w:rPr>
                <w:rFonts w:ascii="Calibri" w:eastAsia="Times New Roman" w:hAnsi="Calibri" w:cs="Times New Roman"/>
                <w:color w:val="000000"/>
              </w:rPr>
            </w:pPr>
            <w:r w:rsidRPr="00650F1B">
              <w:rPr>
                <w:rFonts w:ascii="Calibri" w:eastAsia="Times New Roman" w:hAnsi="Calibri" w:cs="Times New Roman"/>
                <w:color w:val="000000"/>
              </w:rPr>
              <w:t>&gt;$25M</w:t>
            </w:r>
          </w:p>
        </w:tc>
        <w:tc>
          <w:tcPr>
            <w:tcW w:w="546"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0</w:t>
            </w:r>
          </w:p>
        </w:tc>
        <w:tc>
          <w:tcPr>
            <w:tcW w:w="953"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$0</w:t>
            </w:r>
          </w:p>
        </w:tc>
        <w:tc>
          <w:tcPr>
            <w:tcW w:w="429"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0%</w:t>
            </w:r>
          </w:p>
        </w:tc>
        <w:tc>
          <w:tcPr>
            <w:tcW w:w="546"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3</w:t>
            </w:r>
          </w:p>
        </w:tc>
        <w:tc>
          <w:tcPr>
            <w:tcW w:w="1033"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$114,732,250</w:t>
            </w:r>
          </w:p>
        </w:tc>
      </w:tr>
      <w:tr w:rsidR="00CC1FDD" w:rsidRPr="004F6D5A" w:rsidTr="001D6CDF">
        <w:trPr>
          <w:trHeight w:val="20"/>
        </w:trPr>
        <w:tc>
          <w:tcPr>
            <w:tcW w:w="1493" w:type="pct"/>
            <w:shd w:val="clear" w:color="auto" w:fill="DAEEF3" w:themeFill="accent5" w:themeFillTint="33"/>
            <w:noWrap/>
            <w:vAlign w:val="bottom"/>
            <w:hideMark/>
          </w:tcPr>
          <w:p w:rsidR="00CC1FDD" w:rsidRPr="00650F1B" w:rsidRDefault="00CC1FDD" w:rsidP="001D6CDF">
            <w:pPr>
              <w:rPr>
                <w:rFonts w:ascii="Calibri" w:eastAsia="Times New Roman" w:hAnsi="Calibri" w:cs="Times New Roman"/>
                <w:b/>
                <w:bCs/>
                <w:color w:val="000000"/>
              </w:rPr>
            </w:pPr>
            <w:r w:rsidRPr="00650F1B">
              <w:rPr>
                <w:rFonts w:ascii="Calibri" w:eastAsia="Times New Roman" w:hAnsi="Calibri" w:cs="Times New Roman"/>
                <w:b/>
                <w:bCs/>
                <w:color w:val="000000"/>
              </w:rPr>
              <w:t>Professional Services</w:t>
            </w:r>
          </w:p>
        </w:tc>
        <w:tc>
          <w:tcPr>
            <w:tcW w:w="546" w:type="pct"/>
            <w:shd w:val="clear" w:color="auto" w:fill="DAEEF3" w:themeFill="accent5" w:themeFillTint="33"/>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200</w:t>
            </w:r>
          </w:p>
        </w:tc>
        <w:tc>
          <w:tcPr>
            <w:tcW w:w="953" w:type="pct"/>
            <w:shd w:val="clear" w:color="auto" w:fill="DAEEF3" w:themeFill="accent5" w:themeFillTint="33"/>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$36,094,562</w:t>
            </w:r>
          </w:p>
        </w:tc>
        <w:tc>
          <w:tcPr>
            <w:tcW w:w="429" w:type="pct"/>
            <w:shd w:val="clear" w:color="auto" w:fill="DAEEF3" w:themeFill="accent5" w:themeFillTint="33"/>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47%</w:t>
            </w:r>
          </w:p>
        </w:tc>
        <w:tc>
          <w:tcPr>
            <w:tcW w:w="546" w:type="pct"/>
            <w:shd w:val="clear" w:color="auto" w:fill="DAEEF3" w:themeFill="accent5" w:themeFillTint="33"/>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416</w:t>
            </w:r>
          </w:p>
        </w:tc>
        <w:tc>
          <w:tcPr>
            <w:tcW w:w="1033" w:type="pct"/>
            <w:shd w:val="clear" w:color="auto" w:fill="DAEEF3" w:themeFill="accent5" w:themeFillTint="33"/>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$76,010,336</w:t>
            </w:r>
          </w:p>
        </w:tc>
      </w:tr>
      <w:tr w:rsidR="00CC1FDD" w:rsidRPr="004F6D5A" w:rsidTr="001D6CDF">
        <w:trPr>
          <w:trHeight w:val="20"/>
        </w:trPr>
        <w:tc>
          <w:tcPr>
            <w:tcW w:w="1493" w:type="pct"/>
            <w:shd w:val="clear" w:color="auto" w:fill="auto"/>
            <w:noWrap/>
            <w:vAlign w:val="bottom"/>
            <w:hideMark/>
          </w:tcPr>
          <w:p w:rsidR="00CC1FDD" w:rsidRPr="00650F1B" w:rsidRDefault="00CC1FDD" w:rsidP="001D6CDF">
            <w:pPr>
              <w:rPr>
                <w:rFonts w:ascii="Calibri" w:eastAsia="Times New Roman" w:hAnsi="Calibri" w:cs="Times New Roman"/>
                <w:color w:val="000000"/>
              </w:rPr>
            </w:pPr>
            <w:r w:rsidRPr="00650F1B">
              <w:rPr>
                <w:rFonts w:ascii="Calibri" w:eastAsia="Times New Roman" w:hAnsi="Calibri" w:cs="Times New Roman"/>
                <w:color w:val="000000"/>
              </w:rPr>
              <w:t>&lt;=$20K</w:t>
            </w:r>
          </w:p>
        </w:tc>
        <w:tc>
          <w:tcPr>
            <w:tcW w:w="546"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58</w:t>
            </w:r>
          </w:p>
        </w:tc>
        <w:tc>
          <w:tcPr>
            <w:tcW w:w="953"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$621,863</w:t>
            </w:r>
          </w:p>
        </w:tc>
        <w:tc>
          <w:tcPr>
            <w:tcW w:w="429"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41%</w:t>
            </w:r>
          </w:p>
        </w:tc>
        <w:tc>
          <w:tcPr>
            <w:tcW w:w="546"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178</w:t>
            </w:r>
          </w:p>
        </w:tc>
        <w:tc>
          <w:tcPr>
            <w:tcW w:w="1033"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$1,509,047</w:t>
            </w:r>
          </w:p>
        </w:tc>
      </w:tr>
      <w:tr w:rsidR="00CC1FDD" w:rsidRPr="004F6D5A" w:rsidTr="001D6CDF">
        <w:trPr>
          <w:trHeight w:val="20"/>
        </w:trPr>
        <w:tc>
          <w:tcPr>
            <w:tcW w:w="1493" w:type="pct"/>
            <w:shd w:val="clear" w:color="auto" w:fill="auto"/>
            <w:noWrap/>
            <w:vAlign w:val="bottom"/>
            <w:hideMark/>
          </w:tcPr>
          <w:p w:rsidR="00CC1FDD" w:rsidRPr="00650F1B" w:rsidRDefault="00CC1FDD" w:rsidP="001D6CDF">
            <w:pPr>
              <w:rPr>
                <w:rFonts w:ascii="Calibri" w:eastAsia="Times New Roman" w:hAnsi="Calibri" w:cs="Times New Roman"/>
                <w:color w:val="000000"/>
              </w:rPr>
            </w:pPr>
            <w:r w:rsidRPr="00650F1B">
              <w:rPr>
                <w:rFonts w:ascii="Calibri" w:eastAsia="Times New Roman" w:hAnsi="Calibri" w:cs="Times New Roman"/>
                <w:color w:val="000000"/>
              </w:rPr>
              <w:t>&gt;$20K, &lt;=$100K</w:t>
            </w:r>
          </w:p>
        </w:tc>
        <w:tc>
          <w:tcPr>
            <w:tcW w:w="546"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60</w:t>
            </w:r>
          </w:p>
        </w:tc>
        <w:tc>
          <w:tcPr>
            <w:tcW w:w="953"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$2,903,840</w:t>
            </w:r>
          </w:p>
        </w:tc>
        <w:tc>
          <w:tcPr>
            <w:tcW w:w="429"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46%</w:t>
            </w:r>
          </w:p>
        </w:tc>
        <w:tc>
          <w:tcPr>
            <w:tcW w:w="546"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123</w:t>
            </w:r>
          </w:p>
        </w:tc>
        <w:tc>
          <w:tcPr>
            <w:tcW w:w="1033"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$6,271,714</w:t>
            </w:r>
          </w:p>
        </w:tc>
      </w:tr>
      <w:tr w:rsidR="00CC1FDD" w:rsidRPr="004F6D5A" w:rsidTr="001D6CDF">
        <w:trPr>
          <w:trHeight w:val="20"/>
        </w:trPr>
        <w:tc>
          <w:tcPr>
            <w:tcW w:w="1493" w:type="pct"/>
            <w:shd w:val="clear" w:color="auto" w:fill="auto"/>
            <w:noWrap/>
            <w:vAlign w:val="bottom"/>
            <w:hideMark/>
          </w:tcPr>
          <w:p w:rsidR="00CC1FDD" w:rsidRPr="00650F1B" w:rsidRDefault="00CC1FDD" w:rsidP="001D6CDF">
            <w:pPr>
              <w:rPr>
                <w:rFonts w:ascii="Calibri" w:eastAsia="Times New Roman" w:hAnsi="Calibri" w:cs="Times New Roman"/>
                <w:color w:val="000000"/>
              </w:rPr>
            </w:pPr>
            <w:r w:rsidRPr="00650F1B">
              <w:rPr>
                <w:rFonts w:ascii="Calibri" w:eastAsia="Times New Roman" w:hAnsi="Calibri" w:cs="Times New Roman"/>
                <w:color w:val="000000"/>
              </w:rPr>
              <w:t>&gt;$100K, &lt;=$1M</w:t>
            </w:r>
          </w:p>
        </w:tc>
        <w:tc>
          <w:tcPr>
            <w:tcW w:w="546"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76</w:t>
            </w:r>
          </w:p>
        </w:tc>
        <w:tc>
          <w:tcPr>
            <w:tcW w:w="953"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$23,902,817</w:t>
            </w:r>
          </w:p>
        </w:tc>
        <w:tc>
          <w:tcPr>
            <w:tcW w:w="429"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70%</w:t>
            </w:r>
          </w:p>
        </w:tc>
        <w:tc>
          <w:tcPr>
            <w:tcW w:w="546"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106</w:t>
            </w:r>
          </w:p>
        </w:tc>
        <w:tc>
          <w:tcPr>
            <w:tcW w:w="1033"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$34,298,533</w:t>
            </w:r>
          </w:p>
        </w:tc>
      </w:tr>
      <w:tr w:rsidR="00CC1FDD" w:rsidRPr="004F6D5A" w:rsidTr="001D6CDF">
        <w:trPr>
          <w:trHeight w:val="20"/>
        </w:trPr>
        <w:tc>
          <w:tcPr>
            <w:tcW w:w="1493" w:type="pct"/>
            <w:shd w:val="clear" w:color="auto" w:fill="auto"/>
            <w:noWrap/>
            <w:vAlign w:val="bottom"/>
            <w:hideMark/>
          </w:tcPr>
          <w:p w:rsidR="00CC1FDD" w:rsidRPr="00650F1B" w:rsidRDefault="00CC1FDD" w:rsidP="001D6CDF">
            <w:pPr>
              <w:rPr>
                <w:rFonts w:ascii="Calibri" w:eastAsia="Times New Roman" w:hAnsi="Calibri" w:cs="Times New Roman"/>
                <w:color w:val="000000"/>
              </w:rPr>
            </w:pPr>
            <w:r w:rsidRPr="00650F1B">
              <w:rPr>
                <w:rFonts w:ascii="Calibri" w:eastAsia="Times New Roman" w:hAnsi="Calibri" w:cs="Times New Roman"/>
                <w:color w:val="000000"/>
              </w:rPr>
              <w:t>&gt;$1M, &lt;=$5M</w:t>
            </w:r>
          </w:p>
        </w:tc>
        <w:tc>
          <w:tcPr>
            <w:tcW w:w="546"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6</w:t>
            </w:r>
          </w:p>
        </w:tc>
        <w:tc>
          <w:tcPr>
            <w:tcW w:w="953"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$8,666,043</w:t>
            </w:r>
          </w:p>
        </w:tc>
        <w:tc>
          <w:tcPr>
            <w:tcW w:w="429"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62%</w:t>
            </w:r>
          </w:p>
        </w:tc>
        <w:tc>
          <w:tcPr>
            <w:tcW w:w="546"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8</w:t>
            </w:r>
          </w:p>
        </w:tc>
        <w:tc>
          <w:tcPr>
            <w:tcW w:w="1033"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$14,066,043</w:t>
            </w:r>
          </w:p>
        </w:tc>
      </w:tr>
      <w:tr w:rsidR="00CC1FDD" w:rsidRPr="004F6D5A" w:rsidTr="001D6CDF">
        <w:trPr>
          <w:trHeight w:val="20"/>
        </w:trPr>
        <w:tc>
          <w:tcPr>
            <w:tcW w:w="1493" w:type="pct"/>
            <w:shd w:val="clear" w:color="auto" w:fill="auto"/>
            <w:noWrap/>
            <w:vAlign w:val="bottom"/>
            <w:hideMark/>
          </w:tcPr>
          <w:p w:rsidR="00CC1FDD" w:rsidRPr="00650F1B" w:rsidRDefault="00CC1FDD" w:rsidP="001D6CDF">
            <w:pPr>
              <w:rPr>
                <w:rFonts w:ascii="Calibri" w:eastAsia="Times New Roman" w:hAnsi="Calibri" w:cs="Times New Roman"/>
                <w:color w:val="000000"/>
              </w:rPr>
            </w:pPr>
            <w:r w:rsidRPr="00650F1B">
              <w:rPr>
                <w:rFonts w:ascii="Calibri" w:eastAsia="Times New Roman" w:hAnsi="Calibri" w:cs="Times New Roman"/>
                <w:color w:val="000000"/>
              </w:rPr>
              <w:t>&gt;$5M, &lt;=$25M</w:t>
            </w:r>
          </w:p>
        </w:tc>
        <w:tc>
          <w:tcPr>
            <w:tcW w:w="546"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0</w:t>
            </w:r>
          </w:p>
        </w:tc>
        <w:tc>
          <w:tcPr>
            <w:tcW w:w="953"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$0</w:t>
            </w:r>
          </w:p>
        </w:tc>
        <w:tc>
          <w:tcPr>
            <w:tcW w:w="429"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0%</w:t>
            </w:r>
          </w:p>
        </w:tc>
        <w:tc>
          <w:tcPr>
            <w:tcW w:w="546"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w:t>
            </w:r>
          </w:p>
        </w:tc>
        <w:tc>
          <w:tcPr>
            <w:tcW w:w="1033"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$19,865,000</w:t>
            </w:r>
          </w:p>
        </w:tc>
      </w:tr>
      <w:tr w:rsidR="00CC1FDD" w:rsidRPr="004F6D5A" w:rsidTr="001D6CDF">
        <w:trPr>
          <w:trHeight w:val="20"/>
        </w:trPr>
        <w:tc>
          <w:tcPr>
            <w:tcW w:w="1493" w:type="pct"/>
            <w:shd w:val="clear" w:color="auto" w:fill="DAEEF3" w:themeFill="accent5" w:themeFillTint="33"/>
            <w:noWrap/>
            <w:vAlign w:val="bottom"/>
            <w:hideMark/>
          </w:tcPr>
          <w:p w:rsidR="00CC1FDD" w:rsidRPr="00650F1B" w:rsidRDefault="00CC1FDD" w:rsidP="001D6CDF">
            <w:pPr>
              <w:rPr>
                <w:rFonts w:ascii="Calibri" w:eastAsia="Times New Roman" w:hAnsi="Calibri" w:cs="Times New Roman"/>
                <w:b/>
                <w:bCs/>
                <w:color w:val="000000"/>
              </w:rPr>
            </w:pPr>
            <w:r w:rsidRPr="00650F1B">
              <w:rPr>
                <w:rFonts w:ascii="Calibri" w:eastAsia="Times New Roman" w:hAnsi="Calibri" w:cs="Times New Roman"/>
                <w:b/>
                <w:bCs/>
                <w:color w:val="000000"/>
              </w:rPr>
              <w:t>Standard Services</w:t>
            </w:r>
          </w:p>
        </w:tc>
        <w:tc>
          <w:tcPr>
            <w:tcW w:w="546" w:type="pct"/>
            <w:shd w:val="clear" w:color="auto" w:fill="DAEEF3" w:themeFill="accent5" w:themeFillTint="33"/>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44</w:t>
            </w:r>
          </w:p>
        </w:tc>
        <w:tc>
          <w:tcPr>
            <w:tcW w:w="953" w:type="pct"/>
            <w:shd w:val="clear" w:color="auto" w:fill="DAEEF3" w:themeFill="accent5" w:themeFillTint="33"/>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$16,263,597</w:t>
            </w:r>
          </w:p>
        </w:tc>
        <w:tc>
          <w:tcPr>
            <w:tcW w:w="429" w:type="pct"/>
            <w:shd w:val="clear" w:color="auto" w:fill="DAEEF3" w:themeFill="accent5" w:themeFillTint="33"/>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83%</w:t>
            </w:r>
          </w:p>
        </w:tc>
        <w:tc>
          <w:tcPr>
            <w:tcW w:w="546" w:type="pct"/>
            <w:shd w:val="clear" w:color="auto" w:fill="DAEEF3" w:themeFill="accent5" w:themeFillTint="33"/>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104</w:t>
            </w:r>
          </w:p>
        </w:tc>
        <w:tc>
          <w:tcPr>
            <w:tcW w:w="1033" w:type="pct"/>
            <w:shd w:val="clear" w:color="auto" w:fill="DAEEF3" w:themeFill="accent5" w:themeFillTint="33"/>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$19,638,316</w:t>
            </w:r>
          </w:p>
        </w:tc>
      </w:tr>
      <w:tr w:rsidR="00CC1FDD" w:rsidRPr="004F6D5A" w:rsidTr="001D6CDF">
        <w:trPr>
          <w:trHeight w:val="20"/>
        </w:trPr>
        <w:tc>
          <w:tcPr>
            <w:tcW w:w="1493" w:type="pct"/>
            <w:shd w:val="clear" w:color="auto" w:fill="auto"/>
            <w:noWrap/>
            <w:vAlign w:val="bottom"/>
            <w:hideMark/>
          </w:tcPr>
          <w:p w:rsidR="00CC1FDD" w:rsidRPr="00650F1B" w:rsidRDefault="00CC1FDD" w:rsidP="001D6CDF">
            <w:pPr>
              <w:rPr>
                <w:rFonts w:ascii="Calibri" w:eastAsia="Times New Roman" w:hAnsi="Calibri" w:cs="Times New Roman"/>
                <w:color w:val="000000"/>
              </w:rPr>
            </w:pPr>
            <w:r w:rsidRPr="00650F1B">
              <w:rPr>
                <w:rFonts w:ascii="Calibri" w:eastAsia="Times New Roman" w:hAnsi="Calibri" w:cs="Times New Roman"/>
                <w:color w:val="000000"/>
              </w:rPr>
              <w:t>&lt;=$20K</w:t>
            </w:r>
          </w:p>
        </w:tc>
        <w:tc>
          <w:tcPr>
            <w:tcW w:w="546"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8</w:t>
            </w:r>
          </w:p>
        </w:tc>
        <w:tc>
          <w:tcPr>
            <w:tcW w:w="953"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$65,977</w:t>
            </w:r>
          </w:p>
        </w:tc>
        <w:tc>
          <w:tcPr>
            <w:tcW w:w="429"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21%</w:t>
            </w:r>
          </w:p>
        </w:tc>
        <w:tc>
          <w:tcPr>
            <w:tcW w:w="546"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41</w:t>
            </w:r>
          </w:p>
        </w:tc>
        <w:tc>
          <w:tcPr>
            <w:tcW w:w="1033"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$311,048</w:t>
            </w:r>
          </w:p>
        </w:tc>
      </w:tr>
      <w:tr w:rsidR="00CC1FDD" w:rsidRPr="004F6D5A" w:rsidTr="001D6CDF">
        <w:trPr>
          <w:trHeight w:val="20"/>
        </w:trPr>
        <w:tc>
          <w:tcPr>
            <w:tcW w:w="1493" w:type="pct"/>
            <w:shd w:val="clear" w:color="auto" w:fill="auto"/>
            <w:noWrap/>
            <w:vAlign w:val="bottom"/>
            <w:hideMark/>
          </w:tcPr>
          <w:p w:rsidR="00CC1FDD" w:rsidRPr="00650F1B" w:rsidRDefault="00CC1FDD" w:rsidP="001D6CDF">
            <w:pPr>
              <w:rPr>
                <w:rFonts w:ascii="Calibri" w:eastAsia="Times New Roman" w:hAnsi="Calibri" w:cs="Times New Roman"/>
                <w:color w:val="000000"/>
              </w:rPr>
            </w:pPr>
            <w:r w:rsidRPr="00650F1B">
              <w:rPr>
                <w:rFonts w:ascii="Calibri" w:eastAsia="Times New Roman" w:hAnsi="Calibri" w:cs="Times New Roman"/>
                <w:color w:val="000000"/>
              </w:rPr>
              <w:t>&gt;$20K, &lt;=$100K</w:t>
            </w:r>
          </w:p>
        </w:tc>
        <w:tc>
          <w:tcPr>
            <w:tcW w:w="546"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15</w:t>
            </w:r>
          </w:p>
        </w:tc>
        <w:tc>
          <w:tcPr>
            <w:tcW w:w="953"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$771,428</w:t>
            </w:r>
          </w:p>
        </w:tc>
        <w:tc>
          <w:tcPr>
            <w:tcW w:w="429"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46%</w:t>
            </w:r>
          </w:p>
        </w:tc>
        <w:tc>
          <w:tcPr>
            <w:tcW w:w="546"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38</w:t>
            </w:r>
          </w:p>
        </w:tc>
        <w:tc>
          <w:tcPr>
            <w:tcW w:w="1033"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$1,671,693</w:t>
            </w:r>
          </w:p>
        </w:tc>
      </w:tr>
      <w:tr w:rsidR="00CC1FDD" w:rsidRPr="004F6D5A" w:rsidTr="001D6CDF">
        <w:trPr>
          <w:trHeight w:val="20"/>
        </w:trPr>
        <w:tc>
          <w:tcPr>
            <w:tcW w:w="1493" w:type="pct"/>
            <w:shd w:val="clear" w:color="auto" w:fill="auto"/>
            <w:noWrap/>
            <w:vAlign w:val="bottom"/>
            <w:hideMark/>
          </w:tcPr>
          <w:p w:rsidR="00CC1FDD" w:rsidRPr="00650F1B" w:rsidRDefault="00CC1FDD" w:rsidP="001D6CDF">
            <w:pPr>
              <w:rPr>
                <w:rFonts w:ascii="Calibri" w:eastAsia="Times New Roman" w:hAnsi="Calibri" w:cs="Times New Roman"/>
                <w:color w:val="000000"/>
              </w:rPr>
            </w:pPr>
            <w:r w:rsidRPr="00650F1B">
              <w:rPr>
                <w:rFonts w:ascii="Calibri" w:eastAsia="Times New Roman" w:hAnsi="Calibri" w:cs="Times New Roman"/>
                <w:color w:val="000000"/>
              </w:rPr>
              <w:t>&gt;$100K, &lt;=$1M</w:t>
            </w:r>
          </w:p>
        </w:tc>
        <w:tc>
          <w:tcPr>
            <w:tcW w:w="546"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18</w:t>
            </w:r>
          </w:p>
        </w:tc>
        <w:tc>
          <w:tcPr>
            <w:tcW w:w="953"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$8,255,106</w:t>
            </w:r>
          </w:p>
        </w:tc>
        <w:tc>
          <w:tcPr>
            <w:tcW w:w="429"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79%</w:t>
            </w:r>
          </w:p>
        </w:tc>
        <w:tc>
          <w:tcPr>
            <w:tcW w:w="546"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22</w:t>
            </w:r>
          </w:p>
        </w:tc>
        <w:tc>
          <w:tcPr>
            <w:tcW w:w="1033" w:type="pct"/>
            <w:shd w:val="clear" w:color="auto" w:fill="auto"/>
            <w:noWrap/>
            <w:vAlign w:val="bottom"/>
            <w:hideMark/>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$10,484,489</w:t>
            </w:r>
          </w:p>
        </w:tc>
      </w:tr>
      <w:tr w:rsidR="00CC1FDD" w:rsidRPr="004F6D5A" w:rsidTr="001D6CDF">
        <w:trPr>
          <w:trHeight w:val="20"/>
        </w:trPr>
        <w:tc>
          <w:tcPr>
            <w:tcW w:w="1493" w:type="pct"/>
            <w:shd w:val="clear" w:color="auto" w:fill="auto"/>
            <w:noWrap/>
            <w:vAlign w:val="bottom"/>
          </w:tcPr>
          <w:p w:rsidR="00CC1FDD" w:rsidRPr="00650F1B" w:rsidRDefault="00CC1FDD" w:rsidP="001D6CDF">
            <w:pPr>
              <w:rPr>
                <w:rFonts w:ascii="Calibri" w:eastAsia="Times New Roman" w:hAnsi="Calibri" w:cs="Times New Roman"/>
                <w:color w:val="000000"/>
              </w:rPr>
            </w:pPr>
            <w:r>
              <w:rPr>
                <w:rFonts w:ascii="Calibri" w:eastAsia="Times New Roman" w:hAnsi="Calibri" w:cs="Times New Roman"/>
                <w:color w:val="000000"/>
              </w:rPr>
              <w:t>&gt;$1M, &lt;=$5M</w:t>
            </w:r>
          </w:p>
        </w:tc>
        <w:tc>
          <w:tcPr>
            <w:tcW w:w="546" w:type="pct"/>
            <w:shd w:val="clear" w:color="auto" w:fill="auto"/>
            <w:noWrap/>
            <w:vAlign w:val="bottom"/>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3</w:t>
            </w:r>
          </w:p>
        </w:tc>
        <w:tc>
          <w:tcPr>
            <w:tcW w:w="953" w:type="pct"/>
            <w:shd w:val="clear" w:color="auto" w:fill="auto"/>
            <w:noWrap/>
            <w:vAlign w:val="bottom"/>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$7,171,085</w:t>
            </w:r>
          </w:p>
        </w:tc>
        <w:tc>
          <w:tcPr>
            <w:tcW w:w="429" w:type="pct"/>
            <w:shd w:val="clear" w:color="auto" w:fill="auto"/>
            <w:noWrap/>
            <w:vAlign w:val="bottom"/>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100%</w:t>
            </w:r>
          </w:p>
        </w:tc>
        <w:tc>
          <w:tcPr>
            <w:tcW w:w="546" w:type="pct"/>
            <w:shd w:val="clear" w:color="auto" w:fill="auto"/>
            <w:noWrap/>
            <w:vAlign w:val="bottom"/>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3</w:t>
            </w:r>
          </w:p>
        </w:tc>
        <w:tc>
          <w:tcPr>
            <w:tcW w:w="1033" w:type="pct"/>
            <w:shd w:val="clear" w:color="auto" w:fill="auto"/>
            <w:noWrap/>
            <w:vAlign w:val="bottom"/>
          </w:tcPr>
          <w:p w:rsidR="00CC1FDD" w:rsidRPr="003358A2" w:rsidRDefault="00CC1FDD" w:rsidP="001D6CDF">
            <w:pPr>
              <w:jc w:val="center"/>
              <w:rPr>
                <w:rFonts w:eastAsia="Times New Roman" w:cs="Times New Roman"/>
                <w:color w:val="000000"/>
              </w:rPr>
            </w:pPr>
            <w:r w:rsidRPr="003358A2">
              <w:rPr>
                <w:rFonts w:eastAsia="Times New Roman" w:cs="Times New Roman"/>
                <w:color w:val="000000"/>
              </w:rPr>
              <w:t>$7,171,085</w:t>
            </w:r>
          </w:p>
        </w:tc>
      </w:tr>
      <w:tr w:rsidR="00CC1FDD" w:rsidRPr="004F6D5A" w:rsidTr="001D6CDF">
        <w:trPr>
          <w:trHeight w:val="20"/>
        </w:trPr>
        <w:tc>
          <w:tcPr>
            <w:tcW w:w="1493" w:type="pct"/>
            <w:shd w:val="clear" w:color="auto" w:fill="B6DDE8" w:themeFill="accent5" w:themeFillTint="66"/>
            <w:noWrap/>
            <w:vAlign w:val="bottom"/>
            <w:hideMark/>
          </w:tcPr>
          <w:p w:rsidR="00CC1FDD" w:rsidRPr="00650F1B" w:rsidRDefault="00CC1FDD" w:rsidP="001D6CDF">
            <w:pPr>
              <w:rPr>
                <w:rFonts w:ascii="Calibri" w:eastAsia="Times New Roman" w:hAnsi="Calibri" w:cs="Times New Roman"/>
                <w:b/>
                <w:bCs/>
                <w:color w:val="000000"/>
              </w:rPr>
            </w:pPr>
            <w:r w:rsidRPr="00650F1B">
              <w:rPr>
                <w:rFonts w:ascii="Calibri" w:eastAsia="Times New Roman" w:hAnsi="Calibri" w:cs="Times New Roman"/>
                <w:b/>
                <w:bCs/>
                <w:color w:val="000000"/>
              </w:rPr>
              <w:t>Total</w:t>
            </w:r>
          </w:p>
        </w:tc>
        <w:tc>
          <w:tcPr>
            <w:tcW w:w="546" w:type="pct"/>
            <w:shd w:val="clear" w:color="auto" w:fill="B6DDE8" w:themeFill="accent5" w:themeFillTint="66"/>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603</w:t>
            </w:r>
          </w:p>
        </w:tc>
        <w:tc>
          <w:tcPr>
            <w:tcW w:w="953" w:type="pct"/>
            <w:shd w:val="clear" w:color="auto" w:fill="B6DDE8" w:themeFill="accent5" w:themeFillTint="66"/>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$145,128,652</w:t>
            </w:r>
          </w:p>
        </w:tc>
        <w:tc>
          <w:tcPr>
            <w:tcW w:w="429" w:type="pct"/>
            <w:shd w:val="clear" w:color="auto" w:fill="B6DDE8" w:themeFill="accent5" w:themeFillTint="66"/>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29%</w:t>
            </w:r>
          </w:p>
        </w:tc>
        <w:tc>
          <w:tcPr>
            <w:tcW w:w="546" w:type="pct"/>
            <w:shd w:val="clear" w:color="auto" w:fill="B6DDE8" w:themeFill="accent5" w:themeFillTint="66"/>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1,376</w:t>
            </w:r>
          </w:p>
        </w:tc>
        <w:tc>
          <w:tcPr>
            <w:tcW w:w="1033" w:type="pct"/>
            <w:shd w:val="clear" w:color="auto" w:fill="B6DDE8" w:themeFill="accent5" w:themeFillTint="66"/>
            <w:noWrap/>
            <w:vAlign w:val="bottom"/>
            <w:hideMark/>
          </w:tcPr>
          <w:p w:rsidR="00CC1FDD" w:rsidRPr="003358A2" w:rsidRDefault="00CC1FDD" w:rsidP="001D6CDF">
            <w:pPr>
              <w:jc w:val="center"/>
              <w:rPr>
                <w:rFonts w:eastAsia="Times New Roman" w:cs="Times New Roman"/>
                <w:b/>
                <w:bCs/>
                <w:color w:val="000000"/>
              </w:rPr>
            </w:pPr>
            <w:r w:rsidRPr="003358A2">
              <w:rPr>
                <w:rFonts w:eastAsia="Times New Roman" w:cs="Times New Roman"/>
                <w:b/>
                <w:bCs/>
                <w:color w:val="000000"/>
              </w:rPr>
              <w:t>$501,060,886</w:t>
            </w:r>
          </w:p>
        </w:tc>
      </w:tr>
    </w:tbl>
    <w:p w:rsidR="00267026" w:rsidRPr="00406B94" w:rsidRDefault="00267026" w:rsidP="00267026">
      <w:pPr>
        <w:spacing w:before="480" w:after="360" w:line="360" w:lineRule="auto"/>
        <w:jc w:val="both"/>
        <w:rPr>
          <w:rFonts w:ascii="Calibri" w:hAnsi="Calibri"/>
          <w:b/>
          <w:sz w:val="26"/>
          <w:szCs w:val="26"/>
        </w:rPr>
      </w:pPr>
      <w:r w:rsidRPr="00406B94">
        <w:rPr>
          <w:rFonts w:ascii="Calibri" w:hAnsi="Calibri"/>
          <w:b/>
          <w:sz w:val="26"/>
          <w:szCs w:val="26"/>
        </w:rPr>
        <w:t>Waivers</w:t>
      </w:r>
    </w:p>
    <w:p w:rsidR="00267026" w:rsidRPr="00406B94" w:rsidRDefault="00267026" w:rsidP="00267026">
      <w:pPr>
        <w:spacing w:after="360" w:line="360" w:lineRule="auto"/>
        <w:jc w:val="both"/>
        <w:rPr>
          <w:rFonts w:ascii="Calibri" w:hAnsi="Calibri"/>
          <w:sz w:val="24"/>
          <w:szCs w:val="24"/>
        </w:rPr>
      </w:pPr>
      <w:r w:rsidRPr="00406B94">
        <w:rPr>
          <w:rFonts w:ascii="Calibri" w:hAnsi="Calibri"/>
          <w:sz w:val="24"/>
          <w:szCs w:val="24"/>
        </w:rPr>
        <w:t>A vendor that plans to submit a bid or proposal in response to a solicitation for a contract that is subject to M/WBE participation goals may seek to request a reduction in the goals by filing a waiver request with the contracting agency during the pre-bid or pre-proposal stage. The agency and MOCS then evaluate the extent to which the vendor’s business model and subcontracting history is consistent with this request. In order to qualify for a waiver, a vendor must show both the capacity to execute the contract with less subcontracting than projected and legitimate business reasons to do so.  A vendor that receives a full waiver has demonstrated that they would be able to fully self-perform the contract without using subcontractors if awarded the contract.  A vendor that obtains a partial waiver has demonstrated that they will subcontract at a lower amount than the participation goal established by the agency.</w:t>
      </w:r>
    </w:p>
    <w:p w:rsidR="00267026" w:rsidRPr="00406B94" w:rsidRDefault="00267026" w:rsidP="00267026">
      <w:pPr>
        <w:spacing w:after="360" w:line="360" w:lineRule="auto"/>
        <w:jc w:val="both"/>
        <w:rPr>
          <w:rFonts w:ascii="Calibri" w:hAnsi="Calibri"/>
          <w:sz w:val="24"/>
          <w:szCs w:val="24"/>
        </w:rPr>
      </w:pPr>
      <w:r w:rsidRPr="00406B94">
        <w:rPr>
          <w:rFonts w:ascii="Calibri" w:hAnsi="Calibri"/>
          <w:sz w:val="24"/>
          <w:szCs w:val="24"/>
        </w:rPr>
        <w:t>During the reporting pe</w:t>
      </w:r>
      <w:r>
        <w:rPr>
          <w:rFonts w:ascii="Calibri" w:hAnsi="Calibri"/>
          <w:sz w:val="24"/>
          <w:szCs w:val="24"/>
        </w:rPr>
        <w:t xml:space="preserve">riod, vendors sought a total </w:t>
      </w:r>
      <w:r w:rsidR="004E0D8F">
        <w:rPr>
          <w:rFonts w:ascii="Calibri" w:hAnsi="Calibri"/>
          <w:sz w:val="24"/>
          <w:szCs w:val="24"/>
        </w:rPr>
        <w:t xml:space="preserve">of </w:t>
      </w:r>
      <w:r w:rsidR="003927AC">
        <w:rPr>
          <w:rFonts w:ascii="Calibri" w:hAnsi="Calibri"/>
          <w:sz w:val="24"/>
          <w:szCs w:val="24"/>
        </w:rPr>
        <w:t>142</w:t>
      </w:r>
      <w:r w:rsidRPr="00215569">
        <w:rPr>
          <w:rFonts w:ascii="Calibri" w:hAnsi="Calibri"/>
          <w:sz w:val="24"/>
          <w:szCs w:val="24"/>
        </w:rPr>
        <w:t xml:space="preserve"> </w:t>
      </w:r>
      <w:r w:rsidRPr="00406B94">
        <w:rPr>
          <w:rFonts w:ascii="Calibri" w:hAnsi="Calibri"/>
          <w:sz w:val="24"/>
          <w:szCs w:val="24"/>
        </w:rPr>
        <w:t xml:space="preserve">requests for waivers of the M/WBE participation requirements.  </w:t>
      </w:r>
      <w:r w:rsidR="004E0D8F">
        <w:rPr>
          <w:rFonts w:ascii="Calibri" w:hAnsi="Calibri"/>
          <w:sz w:val="24"/>
          <w:szCs w:val="24"/>
        </w:rPr>
        <w:t xml:space="preserve">Of those requests, </w:t>
      </w:r>
      <w:r w:rsidR="003927AC">
        <w:rPr>
          <w:rFonts w:ascii="Calibri" w:hAnsi="Calibri"/>
          <w:sz w:val="24"/>
          <w:szCs w:val="24"/>
        </w:rPr>
        <w:t>32</w:t>
      </w:r>
      <w:r w:rsidR="004E0D8F">
        <w:rPr>
          <w:rFonts w:ascii="Calibri" w:hAnsi="Calibri"/>
          <w:sz w:val="24"/>
          <w:szCs w:val="24"/>
        </w:rPr>
        <w:t xml:space="preserve"> were denied, while </w:t>
      </w:r>
      <w:r w:rsidR="003927AC">
        <w:rPr>
          <w:rFonts w:ascii="Calibri" w:hAnsi="Calibri"/>
          <w:sz w:val="24"/>
          <w:szCs w:val="24"/>
        </w:rPr>
        <w:t>42</w:t>
      </w:r>
      <w:r w:rsidRPr="00215569">
        <w:rPr>
          <w:rFonts w:ascii="Calibri" w:hAnsi="Calibri"/>
          <w:sz w:val="24"/>
          <w:szCs w:val="24"/>
        </w:rPr>
        <w:t xml:space="preserve"> were approved</w:t>
      </w:r>
      <w:r w:rsidR="004E0D8F">
        <w:rPr>
          <w:rFonts w:ascii="Calibri" w:hAnsi="Calibri"/>
          <w:sz w:val="24"/>
          <w:szCs w:val="24"/>
        </w:rPr>
        <w:t xml:space="preserve"> as full waivers and </w:t>
      </w:r>
      <w:r w:rsidR="003927AC">
        <w:rPr>
          <w:rFonts w:ascii="Calibri" w:hAnsi="Calibri"/>
          <w:sz w:val="24"/>
          <w:szCs w:val="24"/>
        </w:rPr>
        <w:t>68</w:t>
      </w:r>
      <w:r w:rsidRPr="00215569">
        <w:rPr>
          <w:rFonts w:ascii="Calibri" w:hAnsi="Calibri"/>
          <w:sz w:val="24"/>
          <w:szCs w:val="24"/>
        </w:rPr>
        <w:t xml:space="preserve"> were </w:t>
      </w:r>
      <w:r w:rsidRPr="00406B94">
        <w:rPr>
          <w:rFonts w:ascii="Calibri" w:hAnsi="Calibri"/>
          <w:sz w:val="24"/>
          <w:szCs w:val="24"/>
        </w:rPr>
        <w:lastRenderedPageBreak/>
        <w:t xml:space="preserve">approved as partial waivers, see </w:t>
      </w:r>
      <w:r w:rsidR="004E0D8F">
        <w:rPr>
          <w:rFonts w:ascii="Calibri" w:hAnsi="Calibri"/>
          <w:sz w:val="24"/>
          <w:szCs w:val="24"/>
        </w:rPr>
        <w:t>Appendices – Table G</w:t>
      </w:r>
      <w:r w:rsidRPr="00C30754">
        <w:rPr>
          <w:rFonts w:ascii="Calibri" w:hAnsi="Calibri"/>
          <w:sz w:val="24"/>
          <w:szCs w:val="24"/>
        </w:rPr>
        <w:t xml:space="preserve">.  </w:t>
      </w:r>
      <w:r w:rsidRPr="00406B94">
        <w:rPr>
          <w:rFonts w:ascii="Calibri" w:hAnsi="Calibri"/>
          <w:sz w:val="24"/>
          <w:szCs w:val="24"/>
        </w:rPr>
        <w:t xml:space="preserve">Since waivers may be granted only to vendors that demonstrate both the capacity to perform the prime contract without subcontracting and a prior contracting history of doing similar work without subcontracting, some of the waivers that were granted involved repeated requests from the same firms, as they sought multiple bidding opportunities.  Thus, the </w:t>
      </w:r>
      <w:r w:rsidR="003927AC">
        <w:rPr>
          <w:rFonts w:ascii="Calibri" w:hAnsi="Calibri"/>
          <w:sz w:val="24"/>
          <w:szCs w:val="24"/>
        </w:rPr>
        <w:t>110</w:t>
      </w:r>
      <w:r w:rsidRPr="00215569">
        <w:rPr>
          <w:rFonts w:ascii="Calibri" w:hAnsi="Calibri"/>
          <w:sz w:val="24"/>
          <w:szCs w:val="24"/>
        </w:rPr>
        <w:t xml:space="preserve"> full and partial waivers w</w:t>
      </w:r>
      <w:r w:rsidR="00BB798E">
        <w:rPr>
          <w:rFonts w:ascii="Calibri" w:hAnsi="Calibri"/>
          <w:sz w:val="24"/>
          <w:szCs w:val="24"/>
        </w:rPr>
        <w:t xml:space="preserve">ere granted to a total of only </w:t>
      </w:r>
      <w:r w:rsidR="003927AC">
        <w:rPr>
          <w:rFonts w:ascii="Calibri" w:hAnsi="Calibri"/>
          <w:sz w:val="24"/>
          <w:szCs w:val="24"/>
        </w:rPr>
        <w:t>55</w:t>
      </w:r>
      <w:r w:rsidRPr="00215569">
        <w:rPr>
          <w:rFonts w:ascii="Calibri" w:hAnsi="Calibri"/>
          <w:sz w:val="24"/>
          <w:szCs w:val="24"/>
        </w:rPr>
        <w:t xml:space="preserve"> individual firms.  Waivers are determined during the pre-bid stage of the procurement.  Thus, most of the vendors that received waivers did not ultimately win the con</w:t>
      </w:r>
      <w:r w:rsidRPr="008E6C74">
        <w:rPr>
          <w:rFonts w:ascii="Calibri" w:hAnsi="Calibri"/>
          <w:sz w:val="24"/>
          <w:szCs w:val="24"/>
        </w:rPr>
        <w:t>tracts for which they were competing.</w:t>
      </w:r>
    </w:p>
    <w:p w:rsidR="00267026" w:rsidRPr="00406B94" w:rsidRDefault="00267026" w:rsidP="00267026">
      <w:pPr>
        <w:spacing w:after="360" w:line="360" w:lineRule="auto"/>
        <w:jc w:val="both"/>
        <w:rPr>
          <w:rFonts w:ascii="Calibri" w:hAnsi="Calibri"/>
          <w:sz w:val="24"/>
          <w:szCs w:val="24"/>
        </w:rPr>
      </w:pPr>
      <w:r w:rsidRPr="00406B94">
        <w:rPr>
          <w:rFonts w:ascii="Calibri" w:hAnsi="Calibri"/>
          <w:sz w:val="24"/>
          <w:szCs w:val="24"/>
        </w:rPr>
        <w:t>During the reporting period,</w:t>
      </w:r>
      <w:r>
        <w:rPr>
          <w:rFonts w:ascii="Calibri" w:hAnsi="Calibri"/>
          <w:sz w:val="24"/>
          <w:szCs w:val="24"/>
        </w:rPr>
        <w:t xml:space="preserve"> </w:t>
      </w:r>
      <w:r w:rsidR="004E0D8F">
        <w:rPr>
          <w:rFonts w:ascii="Calibri" w:hAnsi="Calibri"/>
          <w:sz w:val="24"/>
          <w:szCs w:val="24"/>
        </w:rPr>
        <w:t xml:space="preserve">a total of </w:t>
      </w:r>
      <w:r w:rsidR="00FF2D6D">
        <w:rPr>
          <w:rFonts w:ascii="Calibri" w:hAnsi="Calibri"/>
          <w:sz w:val="24"/>
          <w:szCs w:val="24"/>
        </w:rPr>
        <w:t>32</w:t>
      </w:r>
      <w:r w:rsidRPr="00562F8F">
        <w:rPr>
          <w:rFonts w:ascii="Calibri" w:hAnsi="Calibri"/>
          <w:sz w:val="24"/>
          <w:szCs w:val="24"/>
        </w:rPr>
        <w:t xml:space="preserve"> contracts </w:t>
      </w:r>
      <w:r w:rsidRPr="00406B94">
        <w:rPr>
          <w:rFonts w:ascii="Calibri" w:hAnsi="Calibri"/>
          <w:sz w:val="24"/>
          <w:szCs w:val="24"/>
        </w:rPr>
        <w:t xml:space="preserve">were registered where a winning vendor obtained either a full or partial waiver of </w:t>
      </w:r>
      <w:r w:rsidRPr="00C30754">
        <w:rPr>
          <w:rFonts w:ascii="Calibri" w:hAnsi="Calibri"/>
          <w:sz w:val="24"/>
          <w:szCs w:val="24"/>
        </w:rPr>
        <w:t>the total participation goal.  For more d</w:t>
      </w:r>
      <w:r w:rsidR="004E0D8F">
        <w:rPr>
          <w:rFonts w:ascii="Calibri" w:hAnsi="Calibri"/>
          <w:sz w:val="24"/>
          <w:szCs w:val="24"/>
        </w:rPr>
        <w:t>etails, see Appendices – Table H</w:t>
      </w:r>
      <w:r w:rsidRPr="00C30754">
        <w:rPr>
          <w:rFonts w:ascii="Calibri" w:hAnsi="Calibri"/>
          <w:sz w:val="24"/>
          <w:szCs w:val="24"/>
        </w:rPr>
        <w:t>.</w:t>
      </w:r>
    </w:p>
    <w:p w:rsidR="00267026" w:rsidRPr="00406B94" w:rsidRDefault="00267026" w:rsidP="00267026">
      <w:pPr>
        <w:spacing w:before="360" w:after="360" w:line="360" w:lineRule="auto"/>
        <w:jc w:val="both"/>
        <w:rPr>
          <w:rFonts w:ascii="Calibri" w:hAnsi="Calibri"/>
          <w:b/>
          <w:sz w:val="26"/>
          <w:szCs w:val="26"/>
        </w:rPr>
      </w:pPr>
      <w:r w:rsidRPr="00406B94">
        <w:rPr>
          <w:rFonts w:ascii="Calibri" w:hAnsi="Calibri"/>
          <w:b/>
          <w:sz w:val="26"/>
          <w:szCs w:val="26"/>
        </w:rPr>
        <w:t>Large-Scale Procurement Approvals</w:t>
      </w:r>
    </w:p>
    <w:p w:rsidR="00267026" w:rsidRPr="0014143C" w:rsidRDefault="00267026" w:rsidP="00267026">
      <w:pPr>
        <w:spacing w:after="360" w:line="360" w:lineRule="auto"/>
        <w:jc w:val="both"/>
        <w:rPr>
          <w:rFonts w:ascii="Calibri" w:hAnsi="Calibri"/>
          <w:sz w:val="24"/>
          <w:szCs w:val="24"/>
        </w:rPr>
      </w:pPr>
      <w:r w:rsidRPr="00406B94">
        <w:rPr>
          <w:rFonts w:ascii="Calibri" w:hAnsi="Calibri"/>
          <w:sz w:val="24"/>
          <w:szCs w:val="24"/>
        </w:rPr>
        <w:t xml:space="preserve">Prior to soliciting procurements with an anticipated value of over $10 million, City agencies are required to seek MOCS approval to determine whether it is practicable to divide the proposed contract into smaller contracts and whether doing so would enhance competition among M/WBEs. During the reporting period, there </w:t>
      </w:r>
      <w:r w:rsidRPr="0014143C">
        <w:rPr>
          <w:rFonts w:ascii="Calibri" w:hAnsi="Calibri"/>
          <w:sz w:val="24"/>
          <w:szCs w:val="24"/>
        </w:rPr>
        <w:t xml:space="preserve">were </w:t>
      </w:r>
      <w:r w:rsidR="00FF2D6D">
        <w:rPr>
          <w:rFonts w:ascii="Calibri" w:hAnsi="Calibri"/>
          <w:sz w:val="24"/>
          <w:szCs w:val="24"/>
        </w:rPr>
        <w:t>109</w:t>
      </w:r>
      <w:r w:rsidRPr="008E6C74">
        <w:rPr>
          <w:rFonts w:ascii="Calibri" w:hAnsi="Calibri"/>
          <w:sz w:val="24"/>
          <w:szCs w:val="24"/>
        </w:rPr>
        <w:t xml:space="preserve"> registered contracts for which MOCS conducted large-scale procurement reviews.  A full lis</w:t>
      </w:r>
      <w:r w:rsidR="00BB798E">
        <w:rPr>
          <w:rFonts w:ascii="Calibri" w:hAnsi="Calibri"/>
          <w:sz w:val="24"/>
          <w:szCs w:val="24"/>
        </w:rPr>
        <w:t xml:space="preserve">t is shown in Appendices Table I. The value of the </w:t>
      </w:r>
      <w:r w:rsidR="00FF2D6D">
        <w:rPr>
          <w:rFonts w:ascii="Calibri" w:hAnsi="Calibri"/>
          <w:sz w:val="24"/>
          <w:szCs w:val="24"/>
        </w:rPr>
        <w:t>109</w:t>
      </w:r>
      <w:r w:rsidRPr="008E6C74">
        <w:rPr>
          <w:rFonts w:ascii="Calibri" w:hAnsi="Calibri"/>
          <w:sz w:val="24"/>
          <w:szCs w:val="24"/>
        </w:rPr>
        <w:t xml:space="preserve"> approved contracts shown in</w:t>
      </w:r>
      <w:r w:rsidR="003E009C">
        <w:rPr>
          <w:rFonts w:ascii="Calibri" w:hAnsi="Calibri"/>
          <w:sz w:val="24"/>
          <w:szCs w:val="24"/>
        </w:rPr>
        <w:t xml:space="preserve"> Appendices Table I</w:t>
      </w:r>
      <w:r w:rsidR="0044413B">
        <w:rPr>
          <w:rFonts w:ascii="Calibri" w:hAnsi="Calibri"/>
          <w:sz w:val="24"/>
          <w:szCs w:val="24"/>
        </w:rPr>
        <w:t xml:space="preserve"> is </w:t>
      </w:r>
      <w:r w:rsidR="00FF2D6D">
        <w:rPr>
          <w:rFonts w:ascii="Calibri" w:hAnsi="Calibri"/>
          <w:sz w:val="24"/>
          <w:szCs w:val="24"/>
        </w:rPr>
        <w:t>approximately $3.1</w:t>
      </w:r>
      <w:r w:rsidR="004B4AE0">
        <w:rPr>
          <w:rFonts w:ascii="Calibri" w:hAnsi="Calibri"/>
          <w:sz w:val="24"/>
          <w:szCs w:val="24"/>
        </w:rPr>
        <w:t xml:space="preserve"> billion</w:t>
      </w:r>
      <w:r w:rsidRPr="008E6C74">
        <w:rPr>
          <w:rFonts w:ascii="Calibri" w:hAnsi="Calibri"/>
          <w:sz w:val="24"/>
          <w:szCs w:val="24"/>
        </w:rPr>
        <w:t>.</w:t>
      </w:r>
    </w:p>
    <w:p w:rsidR="00267026" w:rsidRPr="0014143C" w:rsidRDefault="00CC1FDD" w:rsidP="00267026">
      <w:pPr>
        <w:spacing w:after="360" w:line="360" w:lineRule="auto"/>
        <w:jc w:val="both"/>
        <w:rPr>
          <w:rFonts w:ascii="Calibri" w:hAnsi="Calibri"/>
          <w:sz w:val="24"/>
          <w:szCs w:val="24"/>
        </w:rPr>
      </w:pPr>
      <w:r>
        <w:rPr>
          <w:rFonts w:ascii="Calibri" w:hAnsi="Calibri"/>
          <w:sz w:val="24"/>
          <w:szCs w:val="24"/>
        </w:rPr>
        <w:t>Over 70</w:t>
      </w:r>
      <w:r w:rsidR="004B4AE0" w:rsidRPr="00497F55">
        <w:rPr>
          <w:rFonts w:ascii="Calibri" w:hAnsi="Calibri"/>
          <w:sz w:val="24"/>
          <w:szCs w:val="24"/>
        </w:rPr>
        <w:t>%</w:t>
      </w:r>
      <w:r w:rsidR="00267026" w:rsidRPr="008E6C74">
        <w:rPr>
          <w:rFonts w:ascii="Calibri" w:hAnsi="Calibri"/>
          <w:sz w:val="24"/>
          <w:szCs w:val="24"/>
        </w:rPr>
        <w:t xml:space="preserve"> of the value of the large scale approvals in the first</w:t>
      </w:r>
      <w:r>
        <w:rPr>
          <w:rFonts w:ascii="Calibri" w:hAnsi="Calibri"/>
          <w:sz w:val="24"/>
          <w:szCs w:val="24"/>
        </w:rPr>
        <w:t xml:space="preserve"> three </w:t>
      </w:r>
      <w:r w:rsidR="00BB798E">
        <w:rPr>
          <w:rFonts w:ascii="Calibri" w:hAnsi="Calibri"/>
          <w:sz w:val="24"/>
          <w:szCs w:val="24"/>
        </w:rPr>
        <w:t>quarter</w:t>
      </w:r>
      <w:r w:rsidR="0010748A">
        <w:rPr>
          <w:rFonts w:ascii="Calibri" w:hAnsi="Calibri"/>
          <w:sz w:val="24"/>
          <w:szCs w:val="24"/>
        </w:rPr>
        <w:t>s</w:t>
      </w:r>
      <w:r w:rsidR="00BB798E">
        <w:rPr>
          <w:rFonts w:ascii="Calibri" w:hAnsi="Calibri"/>
          <w:sz w:val="24"/>
          <w:szCs w:val="24"/>
        </w:rPr>
        <w:t xml:space="preserve"> of FY 2017 </w:t>
      </w:r>
      <w:r w:rsidR="00B668A7">
        <w:rPr>
          <w:rFonts w:ascii="Calibri" w:hAnsi="Calibri"/>
          <w:sz w:val="24"/>
          <w:szCs w:val="24"/>
        </w:rPr>
        <w:t>was</w:t>
      </w:r>
      <w:r w:rsidR="00267026" w:rsidRPr="008E6C74">
        <w:rPr>
          <w:rFonts w:ascii="Calibri" w:hAnsi="Calibri"/>
          <w:sz w:val="24"/>
          <w:szCs w:val="24"/>
        </w:rPr>
        <w:t xml:space="preserve"> either single indivisible projects or multiple </w:t>
      </w:r>
      <w:r w:rsidR="00267026" w:rsidRPr="0014143C">
        <w:rPr>
          <w:rFonts w:ascii="Calibri" w:hAnsi="Calibri"/>
          <w:sz w:val="24"/>
          <w:szCs w:val="24"/>
        </w:rPr>
        <w:t>sites.  These approvals were for projects in which separate and smaller contracts would not enhance M/WBE opportunities.  For more details, see Appendice</w:t>
      </w:r>
      <w:r w:rsidR="003E009C">
        <w:rPr>
          <w:rFonts w:ascii="Calibri" w:hAnsi="Calibri"/>
          <w:sz w:val="24"/>
          <w:szCs w:val="24"/>
        </w:rPr>
        <w:t xml:space="preserve">s – Table </w:t>
      </w:r>
      <w:proofErr w:type="gramStart"/>
      <w:r w:rsidR="003E009C">
        <w:rPr>
          <w:rFonts w:ascii="Calibri" w:hAnsi="Calibri"/>
          <w:sz w:val="24"/>
          <w:szCs w:val="24"/>
        </w:rPr>
        <w:t>I</w:t>
      </w:r>
      <w:proofErr w:type="gramEnd"/>
      <w:r w:rsidR="00267026" w:rsidRPr="0014143C">
        <w:rPr>
          <w:rFonts w:ascii="Calibri" w:hAnsi="Calibri"/>
          <w:sz w:val="24"/>
          <w:szCs w:val="24"/>
        </w:rPr>
        <w:t>.</w:t>
      </w:r>
    </w:p>
    <w:p w:rsidR="00267026" w:rsidRPr="00406B94" w:rsidRDefault="00267026" w:rsidP="00267026">
      <w:pPr>
        <w:spacing w:before="360" w:after="360" w:line="360" w:lineRule="auto"/>
        <w:jc w:val="both"/>
        <w:rPr>
          <w:rFonts w:ascii="Calibri" w:hAnsi="Calibri"/>
          <w:b/>
          <w:sz w:val="26"/>
          <w:szCs w:val="26"/>
        </w:rPr>
      </w:pPr>
      <w:r w:rsidRPr="00406B94">
        <w:rPr>
          <w:rFonts w:ascii="Calibri" w:hAnsi="Calibri"/>
          <w:b/>
          <w:sz w:val="26"/>
          <w:szCs w:val="26"/>
        </w:rPr>
        <w:t>Complaints, Modifications and Noncompliance</w:t>
      </w:r>
    </w:p>
    <w:p w:rsidR="00267026" w:rsidRPr="006D643E" w:rsidRDefault="00267026" w:rsidP="00ED0864">
      <w:pPr>
        <w:spacing w:after="360" w:line="360" w:lineRule="auto"/>
        <w:jc w:val="both"/>
        <w:rPr>
          <w:rFonts w:ascii="Calibri" w:hAnsi="Calibri"/>
          <w:sz w:val="24"/>
          <w:szCs w:val="24"/>
        </w:rPr>
      </w:pPr>
      <w:r w:rsidRPr="00406B94">
        <w:rPr>
          <w:rFonts w:ascii="Calibri" w:hAnsi="Calibri"/>
          <w:sz w:val="24"/>
          <w:szCs w:val="24"/>
        </w:rPr>
        <w:t>There were no complaints, modifications or findings of noncompliance during the reporting period.</w:t>
      </w:r>
      <w:bookmarkStart w:id="0" w:name="_GoBack"/>
      <w:bookmarkEnd w:id="0"/>
    </w:p>
    <w:sectPr w:rsidR="00267026" w:rsidRPr="006D643E" w:rsidSect="00577FE8">
      <w:footerReference w:type="even" r:id="rId10"/>
      <w:footerReference w:type="default" r:id="rId11"/>
      <w:pgSz w:w="12240" w:h="15840"/>
      <w:pgMar w:top="864" w:right="864" w:bottom="864"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A22" w:rsidRDefault="00477A22" w:rsidP="0030114E">
      <w:r>
        <w:separator/>
      </w:r>
    </w:p>
  </w:endnote>
  <w:endnote w:type="continuationSeparator" w:id="0">
    <w:p w:rsidR="00477A22" w:rsidRDefault="00477A22" w:rsidP="0030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8491"/>
      <w:docPartObj>
        <w:docPartGallery w:val="Page Numbers (Bottom of Page)"/>
        <w:docPartUnique/>
      </w:docPartObj>
    </w:sdtPr>
    <w:sdtEndPr>
      <w:rPr>
        <w:color w:val="7F7F7F" w:themeColor="background1" w:themeShade="7F"/>
        <w:spacing w:val="60"/>
      </w:rPr>
    </w:sdtEndPr>
    <w:sdtContent>
      <w:p w:rsidR="00BE6C43" w:rsidRDefault="00BE6C43">
        <w:pPr>
          <w:pStyle w:val="Footer"/>
          <w:pBdr>
            <w:top w:val="single" w:sz="4" w:space="1" w:color="D9D9D9" w:themeColor="background1" w:themeShade="D9"/>
          </w:pBdr>
          <w:rPr>
            <w:b/>
          </w:rPr>
        </w:pPr>
        <w:r>
          <w:fldChar w:fldCharType="begin"/>
        </w:r>
        <w:r>
          <w:instrText xml:space="preserve"> PAGE   \* MERGEFORMAT </w:instrText>
        </w:r>
        <w:r>
          <w:fldChar w:fldCharType="separate"/>
        </w:r>
        <w:r w:rsidR="007C4AA9" w:rsidRPr="007C4AA9">
          <w:rPr>
            <w:b/>
            <w:noProof/>
          </w:rPr>
          <w:t>14</w:t>
        </w:r>
        <w:r>
          <w:rPr>
            <w:b/>
            <w:noProof/>
          </w:rPr>
          <w:fldChar w:fldCharType="end"/>
        </w:r>
        <w:r>
          <w:rPr>
            <w:b/>
          </w:rPr>
          <w:t xml:space="preserve"> | </w:t>
        </w:r>
        <w:r>
          <w:rPr>
            <w:color w:val="7F7F7F" w:themeColor="background1" w:themeShade="7F"/>
            <w:spacing w:val="60"/>
          </w:rPr>
          <w:t>Page</w:t>
        </w:r>
      </w:p>
    </w:sdtContent>
  </w:sdt>
  <w:p w:rsidR="00BE6C43" w:rsidRPr="00577FE8" w:rsidRDefault="00BE6C43" w:rsidP="00577FE8">
    <w:pPr>
      <w:pStyle w:val="Footer"/>
      <w:pBdr>
        <w:top w:val="single" w:sz="4" w:space="1" w:color="D9D9D9" w:themeColor="background1" w:themeShade="D9"/>
      </w:pBdr>
      <w:jc w:val="right"/>
      <w:rPr>
        <w:color w:val="7F7F7F" w:themeColor="background1" w:themeShade="7F"/>
        <w:spacing w:val="6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18113"/>
      <w:docPartObj>
        <w:docPartGallery w:val="Page Numbers (Bottom of Page)"/>
        <w:docPartUnique/>
      </w:docPartObj>
    </w:sdtPr>
    <w:sdtEndPr>
      <w:rPr>
        <w:color w:val="7F7F7F" w:themeColor="background1" w:themeShade="7F"/>
        <w:spacing w:val="60"/>
      </w:rPr>
    </w:sdtEndPr>
    <w:sdtContent>
      <w:p w:rsidR="00BE6C43" w:rsidRDefault="00BE6C43">
        <w:pPr>
          <w:pStyle w:val="Footer"/>
          <w:pBdr>
            <w:top w:val="single" w:sz="4" w:space="1" w:color="D9D9D9" w:themeColor="background1" w:themeShade="D9"/>
          </w:pBdr>
          <w:jc w:val="right"/>
        </w:pPr>
        <w:r>
          <w:fldChar w:fldCharType="begin"/>
        </w:r>
        <w:r>
          <w:instrText xml:space="preserve"> PAGE   \* MERGEFORMAT </w:instrText>
        </w:r>
        <w:r>
          <w:fldChar w:fldCharType="separate"/>
        </w:r>
        <w:r w:rsidR="007C4AA9">
          <w:rPr>
            <w:noProof/>
          </w:rPr>
          <w:t>15</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A22" w:rsidRDefault="00477A22" w:rsidP="0030114E">
      <w:r>
        <w:separator/>
      </w:r>
    </w:p>
  </w:footnote>
  <w:footnote w:type="continuationSeparator" w:id="0">
    <w:p w:rsidR="00477A22" w:rsidRDefault="00477A22" w:rsidP="0030114E">
      <w:r>
        <w:continuationSeparator/>
      </w:r>
    </w:p>
  </w:footnote>
  <w:footnote w:id="1">
    <w:p w:rsidR="00BE6C43" w:rsidRDefault="00BE6C43" w:rsidP="00112B17">
      <w:pPr>
        <w:pStyle w:val="FootnoteText"/>
      </w:pPr>
      <w:r>
        <w:rPr>
          <w:rStyle w:val="FootnoteReference"/>
        </w:rPr>
        <w:footnoteRef/>
      </w:r>
      <w:r>
        <w:t xml:space="preserve"> </w:t>
      </w:r>
      <w:r w:rsidRPr="00FD78B3">
        <w:rPr>
          <w:rFonts w:asciiTheme="minorHAnsi" w:hAnsiTheme="minorHAnsi"/>
        </w:rPr>
        <w:t xml:space="preserve">LL 1 </w:t>
      </w:r>
      <w:r>
        <w:rPr>
          <w:rFonts w:asciiTheme="minorHAnsi" w:hAnsiTheme="minorHAnsi"/>
        </w:rPr>
        <w:t xml:space="preserve">amended </w:t>
      </w:r>
      <w:r w:rsidRPr="00FD78B3">
        <w:rPr>
          <w:rFonts w:asciiTheme="minorHAnsi" w:hAnsiTheme="minorHAnsi"/>
        </w:rPr>
        <w:t xml:space="preserve">the </w:t>
      </w:r>
      <w:r>
        <w:rPr>
          <w:rFonts w:asciiTheme="minorHAnsi" w:hAnsiTheme="minorHAnsi"/>
        </w:rPr>
        <w:t>law</w:t>
      </w:r>
      <w:r w:rsidRPr="00FD78B3">
        <w:rPr>
          <w:rFonts w:asciiTheme="minorHAnsi" w:hAnsiTheme="minorHAnsi"/>
        </w:rPr>
        <w:t xml:space="preserve"> that </w:t>
      </w:r>
      <w:r>
        <w:rPr>
          <w:rFonts w:asciiTheme="minorHAnsi" w:hAnsiTheme="minorHAnsi"/>
        </w:rPr>
        <w:t xml:space="preserve">created </w:t>
      </w:r>
      <w:r w:rsidRPr="00FD78B3">
        <w:rPr>
          <w:rFonts w:asciiTheme="minorHAnsi" w:hAnsiTheme="minorHAnsi"/>
        </w:rPr>
        <w:t>the City’s M/WBE program, LL 129 of 2005.</w:t>
      </w:r>
      <w:r>
        <w:rPr>
          <w:rFonts w:asciiTheme="minorHAnsi" w:hAnsiTheme="minorHAnsi"/>
        </w:rPr>
        <w:t xml:space="preserve"> The new law took effect on July 1, 2013.</w:t>
      </w:r>
    </w:p>
  </w:footnote>
  <w:footnote w:id="2">
    <w:p w:rsidR="00CC1FDD" w:rsidRPr="00E602AF" w:rsidRDefault="00CC1FDD" w:rsidP="00CC1FDD">
      <w:pPr>
        <w:pStyle w:val="FootnoteText"/>
        <w:rPr>
          <w:rFonts w:asciiTheme="minorHAnsi" w:hAnsiTheme="minorHAnsi"/>
        </w:rPr>
      </w:pPr>
      <w:r w:rsidRPr="00E602AF">
        <w:rPr>
          <w:rStyle w:val="FootnoteReference"/>
          <w:rFonts w:asciiTheme="minorHAnsi" w:hAnsiTheme="minorHAnsi"/>
        </w:rPr>
        <w:footnoteRef/>
      </w:r>
      <w:r w:rsidRPr="00E602AF">
        <w:rPr>
          <w:rFonts w:asciiTheme="minorHAnsi" w:hAnsiTheme="minorHAnsi"/>
        </w:rPr>
        <w:t xml:space="preserve"> The micro</w:t>
      </w:r>
      <w:r>
        <w:rPr>
          <w:rFonts w:asciiTheme="minorHAnsi" w:hAnsiTheme="minorHAnsi"/>
        </w:rPr>
        <w:t xml:space="preserve"> </w:t>
      </w:r>
      <w:r w:rsidRPr="00E602AF">
        <w:rPr>
          <w:rFonts w:asciiTheme="minorHAnsi" w:hAnsiTheme="minorHAnsi"/>
        </w:rPr>
        <w:t>purchase limit for construction services contracts was increased to range from $1 to $35,000 on March 1, 2016.  Likewise, small purchase construction services contracts were increased to range from $35,001 to $100,000.    The micro</w:t>
      </w:r>
      <w:r>
        <w:rPr>
          <w:rFonts w:asciiTheme="minorHAnsi" w:hAnsiTheme="minorHAnsi"/>
        </w:rPr>
        <w:t xml:space="preserve"> </w:t>
      </w:r>
      <w:r w:rsidRPr="00E602AF">
        <w:rPr>
          <w:rFonts w:asciiTheme="minorHAnsi" w:hAnsiTheme="minorHAnsi"/>
        </w:rPr>
        <w:t xml:space="preserve">purchase range for standard and professional services and goods contracts remained unchanged at $1 to $20,000, and their respective small purchase ranges also remained at $20,001 to $100,000.  </w:t>
      </w:r>
    </w:p>
  </w:footnote>
  <w:footnote w:id="3">
    <w:p w:rsidR="00BE6C43" w:rsidRPr="00253A47" w:rsidRDefault="00BE6C43" w:rsidP="008E5BE8">
      <w:pPr>
        <w:pStyle w:val="FootnoteText"/>
        <w:rPr>
          <w:rFonts w:asciiTheme="minorHAnsi" w:hAnsiTheme="minorHAnsi"/>
          <w:color w:val="0000FF" w:themeColor="hyperlink"/>
          <w:u w:val="single"/>
        </w:rPr>
      </w:pPr>
      <w:r>
        <w:rPr>
          <w:rStyle w:val="FootnoteReference"/>
        </w:rPr>
        <w:footnoteRef/>
      </w:r>
      <w:r>
        <w:t xml:space="preserve">  </w:t>
      </w:r>
      <w:r>
        <w:rPr>
          <w:rFonts w:asciiTheme="minorHAnsi" w:hAnsiTheme="minorHAnsi"/>
        </w:rPr>
        <w:t xml:space="preserve">Appendices A – I can be found on the MOCS website at </w:t>
      </w:r>
      <w:hyperlink r:id="rId1" w:history="1">
        <w:r w:rsidRPr="006C0692">
          <w:rPr>
            <w:rStyle w:val="Hyperlink"/>
            <w:rFonts w:asciiTheme="minorHAnsi" w:hAnsiTheme="minorHAnsi"/>
          </w:rPr>
          <w:t>http://www1.nyc.gov/site/mocs/mwbe/reports.page</w:t>
        </w:r>
      </w:hyperlink>
      <w:r>
        <w:rPr>
          <w:rFonts w:asciiTheme="minorHAnsi" w:hAnsiTheme="minorHAnsi"/>
        </w:rPr>
        <w:t>.</w:t>
      </w:r>
    </w:p>
    <w:p w:rsidR="00BE6C43" w:rsidRDefault="00BE6C43" w:rsidP="008E5BE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0ADA"/>
    <w:multiLevelType w:val="hybridMultilevel"/>
    <w:tmpl w:val="F154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B116D5"/>
    <w:multiLevelType w:val="hybridMultilevel"/>
    <w:tmpl w:val="284C630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14E"/>
    <w:rsid w:val="00005BF9"/>
    <w:rsid w:val="0001099B"/>
    <w:rsid w:val="00010F79"/>
    <w:rsid w:val="000152FB"/>
    <w:rsid w:val="00020A74"/>
    <w:rsid w:val="00020B1F"/>
    <w:rsid w:val="00020DF9"/>
    <w:rsid w:val="000244F1"/>
    <w:rsid w:val="000253B3"/>
    <w:rsid w:val="00025CF6"/>
    <w:rsid w:val="00026647"/>
    <w:rsid w:val="000279A4"/>
    <w:rsid w:val="0003117A"/>
    <w:rsid w:val="00031718"/>
    <w:rsid w:val="00032DB4"/>
    <w:rsid w:val="000419EA"/>
    <w:rsid w:val="000421CD"/>
    <w:rsid w:val="000450FE"/>
    <w:rsid w:val="00047E27"/>
    <w:rsid w:val="00050AB8"/>
    <w:rsid w:val="00051F2F"/>
    <w:rsid w:val="00053B46"/>
    <w:rsid w:val="0005537C"/>
    <w:rsid w:val="000606EB"/>
    <w:rsid w:val="00061456"/>
    <w:rsid w:val="00064490"/>
    <w:rsid w:val="000669E0"/>
    <w:rsid w:val="0008179F"/>
    <w:rsid w:val="00082C00"/>
    <w:rsid w:val="000835EC"/>
    <w:rsid w:val="000837B9"/>
    <w:rsid w:val="00086F48"/>
    <w:rsid w:val="0009555B"/>
    <w:rsid w:val="00095722"/>
    <w:rsid w:val="0009752A"/>
    <w:rsid w:val="000A05F5"/>
    <w:rsid w:val="000A21D1"/>
    <w:rsid w:val="000A41E9"/>
    <w:rsid w:val="000A59E1"/>
    <w:rsid w:val="000A6B62"/>
    <w:rsid w:val="000A78B5"/>
    <w:rsid w:val="000A7D8C"/>
    <w:rsid w:val="000B7F06"/>
    <w:rsid w:val="000C014E"/>
    <w:rsid w:val="000C10BE"/>
    <w:rsid w:val="000C2F25"/>
    <w:rsid w:val="000C4A7E"/>
    <w:rsid w:val="000C59C0"/>
    <w:rsid w:val="000C628A"/>
    <w:rsid w:val="000C730B"/>
    <w:rsid w:val="000D0429"/>
    <w:rsid w:val="000D51C4"/>
    <w:rsid w:val="000D6122"/>
    <w:rsid w:val="000E1C63"/>
    <w:rsid w:val="000E7C6D"/>
    <w:rsid w:val="000F1251"/>
    <w:rsid w:val="000F768D"/>
    <w:rsid w:val="000F7E3D"/>
    <w:rsid w:val="0010360C"/>
    <w:rsid w:val="0010633C"/>
    <w:rsid w:val="0010748A"/>
    <w:rsid w:val="00107AC4"/>
    <w:rsid w:val="0011045C"/>
    <w:rsid w:val="00111488"/>
    <w:rsid w:val="00112B17"/>
    <w:rsid w:val="00113D3D"/>
    <w:rsid w:val="00114BBD"/>
    <w:rsid w:val="001201A6"/>
    <w:rsid w:val="001204BB"/>
    <w:rsid w:val="0012147A"/>
    <w:rsid w:val="0012198C"/>
    <w:rsid w:val="0012270D"/>
    <w:rsid w:val="00122AFD"/>
    <w:rsid w:val="00122BF7"/>
    <w:rsid w:val="00122D36"/>
    <w:rsid w:val="00125F3B"/>
    <w:rsid w:val="001272A8"/>
    <w:rsid w:val="001301C2"/>
    <w:rsid w:val="001312B8"/>
    <w:rsid w:val="00131B7B"/>
    <w:rsid w:val="00133B6B"/>
    <w:rsid w:val="00133F18"/>
    <w:rsid w:val="00134AD8"/>
    <w:rsid w:val="00135C50"/>
    <w:rsid w:val="0014143C"/>
    <w:rsid w:val="0014247D"/>
    <w:rsid w:val="00142AE7"/>
    <w:rsid w:val="00144348"/>
    <w:rsid w:val="00144585"/>
    <w:rsid w:val="00150DCA"/>
    <w:rsid w:val="00153985"/>
    <w:rsid w:val="0015699A"/>
    <w:rsid w:val="00160837"/>
    <w:rsid w:val="00162399"/>
    <w:rsid w:val="00170301"/>
    <w:rsid w:val="001723A6"/>
    <w:rsid w:val="00172515"/>
    <w:rsid w:val="001729D3"/>
    <w:rsid w:val="00173D72"/>
    <w:rsid w:val="001813A9"/>
    <w:rsid w:val="00183B97"/>
    <w:rsid w:val="001864E5"/>
    <w:rsid w:val="00193156"/>
    <w:rsid w:val="001A195E"/>
    <w:rsid w:val="001A3643"/>
    <w:rsid w:val="001A45EA"/>
    <w:rsid w:val="001A4732"/>
    <w:rsid w:val="001A6F6F"/>
    <w:rsid w:val="001B163C"/>
    <w:rsid w:val="001B273D"/>
    <w:rsid w:val="001B67A0"/>
    <w:rsid w:val="001B69C1"/>
    <w:rsid w:val="001B79C4"/>
    <w:rsid w:val="001B7AFC"/>
    <w:rsid w:val="001C01FC"/>
    <w:rsid w:val="001C5119"/>
    <w:rsid w:val="001C7A55"/>
    <w:rsid w:val="001D0333"/>
    <w:rsid w:val="001D08BC"/>
    <w:rsid w:val="001D173F"/>
    <w:rsid w:val="001D6498"/>
    <w:rsid w:val="001E0F09"/>
    <w:rsid w:val="001E18A9"/>
    <w:rsid w:val="001E345C"/>
    <w:rsid w:val="001E537C"/>
    <w:rsid w:val="001E7097"/>
    <w:rsid w:val="001E7A19"/>
    <w:rsid w:val="001F0CC0"/>
    <w:rsid w:val="001F26E8"/>
    <w:rsid w:val="001F35E1"/>
    <w:rsid w:val="001F3840"/>
    <w:rsid w:val="001F5F49"/>
    <w:rsid w:val="001F6E32"/>
    <w:rsid w:val="00201657"/>
    <w:rsid w:val="0020550D"/>
    <w:rsid w:val="00211B9D"/>
    <w:rsid w:val="00215569"/>
    <w:rsid w:val="00216730"/>
    <w:rsid w:val="002175B4"/>
    <w:rsid w:val="0022358C"/>
    <w:rsid w:val="00225518"/>
    <w:rsid w:val="00227943"/>
    <w:rsid w:val="00227DF2"/>
    <w:rsid w:val="00230AE3"/>
    <w:rsid w:val="00231290"/>
    <w:rsid w:val="002322DD"/>
    <w:rsid w:val="00234F9F"/>
    <w:rsid w:val="0023535D"/>
    <w:rsid w:val="00235528"/>
    <w:rsid w:val="0023612D"/>
    <w:rsid w:val="0024484B"/>
    <w:rsid w:val="00244C55"/>
    <w:rsid w:val="00251BF2"/>
    <w:rsid w:val="00252CDA"/>
    <w:rsid w:val="00253826"/>
    <w:rsid w:val="00253A47"/>
    <w:rsid w:val="00254231"/>
    <w:rsid w:val="00254868"/>
    <w:rsid w:val="00254B88"/>
    <w:rsid w:val="00257722"/>
    <w:rsid w:val="00260B2D"/>
    <w:rsid w:val="00262119"/>
    <w:rsid w:val="00266E2E"/>
    <w:rsid w:val="00267026"/>
    <w:rsid w:val="00271CF5"/>
    <w:rsid w:val="002721E6"/>
    <w:rsid w:val="002740E3"/>
    <w:rsid w:val="00276102"/>
    <w:rsid w:val="00276C39"/>
    <w:rsid w:val="00276D25"/>
    <w:rsid w:val="0028164C"/>
    <w:rsid w:val="00282F61"/>
    <w:rsid w:val="002841DD"/>
    <w:rsid w:val="00285127"/>
    <w:rsid w:val="002859F9"/>
    <w:rsid w:val="0028767E"/>
    <w:rsid w:val="002903D8"/>
    <w:rsid w:val="00293723"/>
    <w:rsid w:val="00293B22"/>
    <w:rsid w:val="00294617"/>
    <w:rsid w:val="002953B5"/>
    <w:rsid w:val="00295430"/>
    <w:rsid w:val="00295584"/>
    <w:rsid w:val="00296889"/>
    <w:rsid w:val="0029715F"/>
    <w:rsid w:val="00297B69"/>
    <w:rsid w:val="00297D5F"/>
    <w:rsid w:val="00297F3E"/>
    <w:rsid w:val="002A057D"/>
    <w:rsid w:val="002A0E75"/>
    <w:rsid w:val="002B221F"/>
    <w:rsid w:val="002B454C"/>
    <w:rsid w:val="002C25F9"/>
    <w:rsid w:val="002C271D"/>
    <w:rsid w:val="002C4ED8"/>
    <w:rsid w:val="002C740B"/>
    <w:rsid w:val="002D0A01"/>
    <w:rsid w:val="002D294D"/>
    <w:rsid w:val="002D3BFA"/>
    <w:rsid w:val="002D5546"/>
    <w:rsid w:val="002D5C00"/>
    <w:rsid w:val="002E187A"/>
    <w:rsid w:val="002E1895"/>
    <w:rsid w:val="002E2BAE"/>
    <w:rsid w:val="002E7218"/>
    <w:rsid w:val="002E7992"/>
    <w:rsid w:val="002F0528"/>
    <w:rsid w:val="002F261E"/>
    <w:rsid w:val="002F6125"/>
    <w:rsid w:val="002F7968"/>
    <w:rsid w:val="002F7D98"/>
    <w:rsid w:val="0030114E"/>
    <w:rsid w:val="003013C7"/>
    <w:rsid w:val="003019B9"/>
    <w:rsid w:val="00302324"/>
    <w:rsid w:val="003027C4"/>
    <w:rsid w:val="00303527"/>
    <w:rsid w:val="003109DA"/>
    <w:rsid w:val="00311810"/>
    <w:rsid w:val="00320131"/>
    <w:rsid w:val="0032059B"/>
    <w:rsid w:val="00321C81"/>
    <w:rsid w:val="00323635"/>
    <w:rsid w:val="00323662"/>
    <w:rsid w:val="00325559"/>
    <w:rsid w:val="0032628A"/>
    <w:rsid w:val="003300ED"/>
    <w:rsid w:val="00330A70"/>
    <w:rsid w:val="00332017"/>
    <w:rsid w:val="0033412F"/>
    <w:rsid w:val="00334247"/>
    <w:rsid w:val="00334C2E"/>
    <w:rsid w:val="00336253"/>
    <w:rsid w:val="00342755"/>
    <w:rsid w:val="0034310E"/>
    <w:rsid w:val="00346AB6"/>
    <w:rsid w:val="00346F4E"/>
    <w:rsid w:val="003512AC"/>
    <w:rsid w:val="00351CDA"/>
    <w:rsid w:val="003542DB"/>
    <w:rsid w:val="00356860"/>
    <w:rsid w:val="00356F8C"/>
    <w:rsid w:val="0035723E"/>
    <w:rsid w:val="00360AD5"/>
    <w:rsid w:val="00362AE9"/>
    <w:rsid w:val="00363D9A"/>
    <w:rsid w:val="00365495"/>
    <w:rsid w:val="00366921"/>
    <w:rsid w:val="00366E70"/>
    <w:rsid w:val="00367DD9"/>
    <w:rsid w:val="0037338C"/>
    <w:rsid w:val="003757FF"/>
    <w:rsid w:val="00383EF0"/>
    <w:rsid w:val="003854CC"/>
    <w:rsid w:val="00387386"/>
    <w:rsid w:val="00387D67"/>
    <w:rsid w:val="003916A7"/>
    <w:rsid w:val="003927AC"/>
    <w:rsid w:val="003945C3"/>
    <w:rsid w:val="00394798"/>
    <w:rsid w:val="003A0C67"/>
    <w:rsid w:val="003A2AFB"/>
    <w:rsid w:val="003A350D"/>
    <w:rsid w:val="003A4703"/>
    <w:rsid w:val="003A6F6A"/>
    <w:rsid w:val="003A7574"/>
    <w:rsid w:val="003B0E5A"/>
    <w:rsid w:val="003B1B1E"/>
    <w:rsid w:val="003B7815"/>
    <w:rsid w:val="003C0D88"/>
    <w:rsid w:val="003C2177"/>
    <w:rsid w:val="003C4214"/>
    <w:rsid w:val="003C5007"/>
    <w:rsid w:val="003D3C59"/>
    <w:rsid w:val="003D4098"/>
    <w:rsid w:val="003D43D3"/>
    <w:rsid w:val="003D48EF"/>
    <w:rsid w:val="003D536C"/>
    <w:rsid w:val="003D724A"/>
    <w:rsid w:val="003E009C"/>
    <w:rsid w:val="003E1BF6"/>
    <w:rsid w:val="003E325F"/>
    <w:rsid w:val="003E5F0E"/>
    <w:rsid w:val="003E66BF"/>
    <w:rsid w:val="003E7E2B"/>
    <w:rsid w:val="003F1591"/>
    <w:rsid w:val="003F33AE"/>
    <w:rsid w:val="003F5242"/>
    <w:rsid w:val="00400BC9"/>
    <w:rsid w:val="00403DEF"/>
    <w:rsid w:val="004049CC"/>
    <w:rsid w:val="00404DF1"/>
    <w:rsid w:val="00405480"/>
    <w:rsid w:val="00406B94"/>
    <w:rsid w:val="00407E2F"/>
    <w:rsid w:val="00410668"/>
    <w:rsid w:val="00412127"/>
    <w:rsid w:val="004124E8"/>
    <w:rsid w:val="00415BF3"/>
    <w:rsid w:val="0041680E"/>
    <w:rsid w:val="004247D9"/>
    <w:rsid w:val="00425A17"/>
    <w:rsid w:val="00425F58"/>
    <w:rsid w:val="00426551"/>
    <w:rsid w:val="004267BF"/>
    <w:rsid w:val="00430E3B"/>
    <w:rsid w:val="00434AEA"/>
    <w:rsid w:val="00435B58"/>
    <w:rsid w:val="0043660F"/>
    <w:rsid w:val="00437189"/>
    <w:rsid w:val="004409E4"/>
    <w:rsid w:val="00443BB0"/>
    <w:rsid w:val="0044413B"/>
    <w:rsid w:val="0044577D"/>
    <w:rsid w:val="004458D7"/>
    <w:rsid w:val="004527A9"/>
    <w:rsid w:val="00452E20"/>
    <w:rsid w:val="00454584"/>
    <w:rsid w:val="00456D94"/>
    <w:rsid w:val="00457816"/>
    <w:rsid w:val="0046031D"/>
    <w:rsid w:val="00463CF7"/>
    <w:rsid w:val="0046421E"/>
    <w:rsid w:val="00466075"/>
    <w:rsid w:val="0046656E"/>
    <w:rsid w:val="00466EA3"/>
    <w:rsid w:val="004672B2"/>
    <w:rsid w:val="00467E80"/>
    <w:rsid w:val="00470330"/>
    <w:rsid w:val="0047058D"/>
    <w:rsid w:val="00473BD5"/>
    <w:rsid w:val="00474252"/>
    <w:rsid w:val="00474C0C"/>
    <w:rsid w:val="0047653F"/>
    <w:rsid w:val="00477A22"/>
    <w:rsid w:val="00477F5C"/>
    <w:rsid w:val="00483B5A"/>
    <w:rsid w:val="0048503D"/>
    <w:rsid w:val="0048563E"/>
    <w:rsid w:val="00490A74"/>
    <w:rsid w:val="00490E24"/>
    <w:rsid w:val="0049106F"/>
    <w:rsid w:val="00494262"/>
    <w:rsid w:val="0049586E"/>
    <w:rsid w:val="00495CB8"/>
    <w:rsid w:val="00496490"/>
    <w:rsid w:val="0049673D"/>
    <w:rsid w:val="00497F55"/>
    <w:rsid w:val="004A09B5"/>
    <w:rsid w:val="004A1780"/>
    <w:rsid w:val="004A2B15"/>
    <w:rsid w:val="004A6607"/>
    <w:rsid w:val="004A76D8"/>
    <w:rsid w:val="004B078D"/>
    <w:rsid w:val="004B0A57"/>
    <w:rsid w:val="004B2020"/>
    <w:rsid w:val="004B2F86"/>
    <w:rsid w:val="004B315D"/>
    <w:rsid w:val="004B4AE0"/>
    <w:rsid w:val="004B4C54"/>
    <w:rsid w:val="004B5162"/>
    <w:rsid w:val="004B62E0"/>
    <w:rsid w:val="004C4F10"/>
    <w:rsid w:val="004C5525"/>
    <w:rsid w:val="004C5596"/>
    <w:rsid w:val="004C5D60"/>
    <w:rsid w:val="004D0B33"/>
    <w:rsid w:val="004D0D75"/>
    <w:rsid w:val="004D242F"/>
    <w:rsid w:val="004D3A39"/>
    <w:rsid w:val="004D75FD"/>
    <w:rsid w:val="004E0D8F"/>
    <w:rsid w:val="004E13D2"/>
    <w:rsid w:val="004E24D9"/>
    <w:rsid w:val="004E3A1A"/>
    <w:rsid w:val="004E6431"/>
    <w:rsid w:val="004E6FFD"/>
    <w:rsid w:val="004F2945"/>
    <w:rsid w:val="004F45C3"/>
    <w:rsid w:val="004F5544"/>
    <w:rsid w:val="004F6B4E"/>
    <w:rsid w:val="005013D7"/>
    <w:rsid w:val="005016D4"/>
    <w:rsid w:val="005028C1"/>
    <w:rsid w:val="00505B93"/>
    <w:rsid w:val="00506CDB"/>
    <w:rsid w:val="00506E83"/>
    <w:rsid w:val="00513309"/>
    <w:rsid w:val="00513436"/>
    <w:rsid w:val="00514051"/>
    <w:rsid w:val="0052104B"/>
    <w:rsid w:val="005223F3"/>
    <w:rsid w:val="0052413B"/>
    <w:rsid w:val="00532A74"/>
    <w:rsid w:val="00532EA8"/>
    <w:rsid w:val="00533423"/>
    <w:rsid w:val="00536B9D"/>
    <w:rsid w:val="00536F8A"/>
    <w:rsid w:val="0054095E"/>
    <w:rsid w:val="00540E0D"/>
    <w:rsid w:val="00541477"/>
    <w:rsid w:val="0054285A"/>
    <w:rsid w:val="005428F8"/>
    <w:rsid w:val="00543243"/>
    <w:rsid w:val="0054350E"/>
    <w:rsid w:val="00544380"/>
    <w:rsid w:val="005451C7"/>
    <w:rsid w:val="00547457"/>
    <w:rsid w:val="00552425"/>
    <w:rsid w:val="00553FD1"/>
    <w:rsid w:val="005544D2"/>
    <w:rsid w:val="0055492A"/>
    <w:rsid w:val="00555CE2"/>
    <w:rsid w:val="00556BC2"/>
    <w:rsid w:val="005617E3"/>
    <w:rsid w:val="00562C86"/>
    <w:rsid w:val="00562F8F"/>
    <w:rsid w:val="00565CF8"/>
    <w:rsid w:val="0056637A"/>
    <w:rsid w:val="005663E5"/>
    <w:rsid w:val="005706FD"/>
    <w:rsid w:val="00573182"/>
    <w:rsid w:val="00573479"/>
    <w:rsid w:val="00575EB4"/>
    <w:rsid w:val="00577E1E"/>
    <w:rsid w:val="00577FE8"/>
    <w:rsid w:val="0058006B"/>
    <w:rsid w:val="005815EC"/>
    <w:rsid w:val="005846A9"/>
    <w:rsid w:val="005871CA"/>
    <w:rsid w:val="0058721A"/>
    <w:rsid w:val="00590E33"/>
    <w:rsid w:val="0059311F"/>
    <w:rsid w:val="00594A2A"/>
    <w:rsid w:val="00595C1B"/>
    <w:rsid w:val="00597664"/>
    <w:rsid w:val="005A23BA"/>
    <w:rsid w:val="005A5929"/>
    <w:rsid w:val="005A75D0"/>
    <w:rsid w:val="005B0B39"/>
    <w:rsid w:val="005B2257"/>
    <w:rsid w:val="005B268F"/>
    <w:rsid w:val="005B2D2E"/>
    <w:rsid w:val="005B519E"/>
    <w:rsid w:val="005B5385"/>
    <w:rsid w:val="005C0801"/>
    <w:rsid w:val="005C539D"/>
    <w:rsid w:val="005C6BCA"/>
    <w:rsid w:val="005D38B9"/>
    <w:rsid w:val="005D3B1A"/>
    <w:rsid w:val="005D4521"/>
    <w:rsid w:val="005D565B"/>
    <w:rsid w:val="005D581B"/>
    <w:rsid w:val="005D601B"/>
    <w:rsid w:val="005D6DBF"/>
    <w:rsid w:val="005D7577"/>
    <w:rsid w:val="005E1111"/>
    <w:rsid w:val="005E4B09"/>
    <w:rsid w:val="005E6098"/>
    <w:rsid w:val="005F01CE"/>
    <w:rsid w:val="005F7F74"/>
    <w:rsid w:val="0060065A"/>
    <w:rsid w:val="00605FD8"/>
    <w:rsid w:val="00610145"/>
    <w:rsid w:val="0061655B"/>
    <w:rsid w:val="0062077C"/>
    <w:rsid w:val="00620ED6"/>
    <w:rsid w:val="006301CE"/>
    <w:rsid w:val="00634DC1"/>
    <w:rsid w:val="0063665E"/>
    <w:rsid w:val="00644A68"/>
    <w:rsid w:val="0065045C"/>
    <w:rsid w:val="00650F1B"/>
    <w:rsid w:val="006541A3"/>
    <w:rsid w:val="006543B4"/>
    <w:rsid w:val="006550C3"/>
    <w:rsid w:val="006550DF"/>
    <w:rsid w:val="006557A2"/>
    <w:rsid w:val="006625CF"/>
    <w:rsid w:val="00662D8A"/>
    <w:rsid w:val="00663C9B"/>
    <w:rsid w:val="006641FE"/>
    <w:rsid w:val="00665065"/>
    <w:rsid w:val="00665971"/>
    <w:rsid w:val="006719C7"/>
    <w:rsid w:val="00673082"/>
    <w:rsid w:val="0067669D"/>
    <w:rsid w:val="00676CDE"/>
    <w:rsid w:val="00682474"/>
    <w:rsid w:val="006832B1"/>
    <w:rsid w:val="006861FB"/>
    <w:rsid w:val="00686238"/>
    <w:rsid w:val="00686BAB"/>
    <w:rsid w:val="00687AC7"/>
    <w:rsid w:val="0069223B"/>
    <w:rsid w:val="00696BD0"/>
    <w:rsid w:val="006A300F"/>
    <w:rsid w:val="006A39A9"/>
    <w:rsid w:val="006A5AD0"/>
    <w:rsid w:val="006B1F56"/>
    <w:rsid w:val="006B25EE"/>
    <w:rsid w:val="006B2891"/>
    <w:rsid w:val="006B495D"/>
    <w:rsid w:val="006C104B"/>
    <w:rsid w:val="006C5C12"/>
    <w:rsid w:val="006D019C"/>
    <w:rsid w:val="006D01C4"/>
    <w:rsid w:val="006D056E"/>
    <w:rsid w:val="006D2E5D"/>
    <w:rsid w:val="006D31AB"/>
    <w:rsid w:val="006D31E2"/>
    <w:rsid w:val="006D36B7"/>
    <w:rsid w:val="006D537E"/>
    <w:rsid w:val="006D643E"/>
    <w:rsid w:val="006D762B"/>
    <w:rsid w:val="006E09C7"/>
    <w:rsid w:val="006E22D8"/>
    <w:rsid w:val="006E3060"/>
    <w:rsid w:val="006E61BD"/>
    <w:rsid w:val="006E6B71"/>
    <w:rsid w:val="006E75A0"/>
    <w:rsid w:val="006F3156"/>
    <w:rsid w:val="006F596C"/>
    <w:rsid w:val="006F5D7F"/>
    <w:rsid w:val="006F7130"/>
    <w:rsid w:val="007001DE"/>
    <w:rsid w:val="0070149F"/>
    <w:rsid w:val="007037CA"/>
    <w:rsid w:val="00710579"/>
    <w:rsid w:val="00712C96"/>
    <w:rsid w:val="007146FD"/>
    <w:rsid w:val="007156A8"/>
    <w:rsid w:val="00716340"/>
    <w:rsid w:val="007170F8"/>
    <w:rsid w:val="0072126D"/>
    <w:rsid w:val="007263B8"/>
    <w:rsid w:val="007275FF"/>
    <w:rsid w:val="00733FDE"/>
    <w:rsid w:val="00735217"/>
    <w:rsid w:val="00736031"/>
    <w:rsid w:val="00741E01"/>
    <w:rsid w:val="00744233"/>
    <w:rsid w:val="007451E2"/>
    <w:rsid w:val="0075386D"/>
    <w:rsid w:val="00753A9E"/>
    <w:rsid w:val="007547FA"/>
    <w:rsid w:val="00757C38"/>
    <w:rsid w:val="00762ABF"/>
    <w:rsid w:val="007635D7"/>
    <w:rsid w:val="00777796"/>
    <w:rsid w:val="00782041"/>
    <w:rsid w:val="00784A0C"/>
    <w:rsid w:val="00792580"/>
    <w:rsid w:val="00792FF4"/>
    <w:rsid w:val="00793BDE"/>
    <w:rsid w:val="007945FD"/>
    <w:rsid w:val="007953E5"/>
    <w:rsid w:val="00796443"/>
    <w:rsid w:val="007A2FE2"/>
    <w:rsid w:val="007A5B93"/>
    <w:rsid w:val="007B126A"/>
    <w:rsid w:val="007B130F"/>
    <w:rsid w:val="007B176B"/>
    <w:rsid w:val="007B1E22"/>
    <w:rsid w:val="007B27D1"/>
    <w:rsid w:val="007B289C"/>
    <w:rsid w:val="007B2A06"/>
    <w:rsid w:val="007B2F30"/>
    <w:rsid w:val="007B2F69"/>
    <w:rsid w:val="007B5FC9"/>
    <w:rsid w:val="007C0399"/>
    <w:rsid w:val="007C149C"/>
    <w:rsid w:val="007C43EC"/>
    <w:rsid w:val="007C4AA9"/>
    <w:rsid w:val="007C5A1D"/>
    <w:rsid w:val="007C6691"/>
    <w:rsid w:val="007D02FC"/>
    <w:rsid w:val="007D2082"/>
    <w:rsid w:val="007D3107"/>
    <w:rsid w:val="007D35F7"/>
    <w:rsid w:val="007D3D5E"/>
    <w:rsid w:val="007D51D8"/>
    <w:rsid w:val="007E0999"/>
    <w:rsid w:val="007E11AB"/>
    <w:rsid w:val="007E28CD"/>
    <w:rsid w:val="007E3CC4"/>
    <w:rsid w:val="007E63C0"/>
    <w:rsid w:val="007F10A7"/>
    <w:rsid w:val="007F294A"/>
    <w:rsid w:val="007F2CD2"/>
    <w:rsid w:val="007F51A3"/>
    <w:rsid w:val="007F5927"/>
    <w:rsid w:val="007F630E"/>
    <w:rsid w:val="00800CC8"/>
    <w:rsid w:val="00802021"/>
    <w:rsid w:val="00802A50"/>
    <w:rsid w:val="00805CF5"/>
    <w:rsid w:val="008066B2"/>
    <w:rsid w:val="0081025E"/>
    <w:rsid w:val="00811A8D"/>
    <w:rsid w:val="00813F63"/>
    <w:rsid w:val="00814104"/>
    <w:rsid w:val="008145B2"/>
    <w:rsid w:val="00814AEA"/>
    <w:rsid w:val="00814D67"/>
    <w:rsid w:val="00816764"/>
    <w:rsid w:val="00822BE0"/>
    <w:rsid w:val="008262A9"/>
    <w:rsid w:val="00827404"/>
    <w:rsid w:val="008304CB"/>
    <w:rsid w:val="0083103E"/>
    <w:rsid w:val="00831627"/>
    <w:rsid w:val="00833EFF"/>
    <w:rsid w:val="00833FBD"/>
    <w:rsid w:val="008343CE"/>
    <w:rsid w:val="0083515F"/>
    <w:rsid w:val="00835DD3"/>
    <w:rsid w:val="008369D3"/>
    <w:rsid w:val="00843B27"/>
    <w:rsid w:val="00843C76"/>
    <w:rsid w:val="00844F0D"/>
    <w:rsid w:val="00845C6B"/>
    <w:rsid w:val="008478CF"/>
    <w:rsid w:val="0085048D"/>
    <w:rsid w:val="0085217F"/>
    <w:rsid w:val="008550C6"/>
    <w:rsid w:val="0085556E"/>
    <w:rsid w:val="00860FA0"/>
    <w:rsid w:val="00861149"/>
    <w:rsid w:val="0086153C"/>
    <w:rsid w:val="00862DE9"/>
    <w:rsid w:val="0086540E"/>
    <w:rsid w:val="0086571F"/>
    <w:rsid w:val="0086756C"/>
    <w:rsid w:val="008820D0"/>
    <w:rsid w:val="00883B00"/>
    <w:rsid w:val="00885604"/>
    <w:rsid w:val="0089054D"/>
    <w:rsid w:val="00892AE2"/>
    <w:rsid w:val="008949DA"/>
    <w:rsid w:val="00894D21"/>
    <w:rsid w:val="008A5A1C"/>
    <w:rsid w:val="008B12D7"/>
    <w:rsid w:val="008B1BC7"/>
    <w:rsid w:val="008B2547"/>
    <w:rsid w:val="008B3B4B"/>
    <w:rsid w:val="008C15FF"/>
    <w:rsid w:val="008C222F"/>
    <w:rsid w:val="008C401D"/>
    <w:rsid w:val="008D4646"/>
    <w:rsid w:val="008D718B"/>
    <w:rsid w:val="008E0B71"/>
    <w:rsid w:val="008E185C"/>
    <w:rsid w:val="008E521D"/>
    <w:rsid w:val="008E5BE8"/>
    <w:rsid w:val="008E6C74"/>
    <w:rsid w:val="008E76CF"/>
    <w:rsid w:val="008E79FD"/>
    <w:rsid w:val="008F0D7C"/>
    <w:rsid w:val="008F1788"/>
    <w:rsid w:val="008F2554"/>
    <w:rsid w:val="008F2839"/>
    <w:rsid w:val="008F2E40"/>
    <w:rsid w:val="008F527A"/>
    <w:rsid w:val="008F65CD"/>
    <w:rsid w:val="0090202D"/>
    <w:rsid w:val="009063A9"/>
    <w:rsid w:val="00911845"/>
    <w:rsid w:val="00923B6A"/>
    <w:rsid w:val="00926B78"/>
    <w:rsid w:val="00927E95"/>
    <w:rsid w:val="0093092C"/>
    <w:rsid w:val="009311C9"/>
    <w:rsid w:val="00935A01"/>
    <w:rsid w:val="009404E6"/>
    <w:rsid w:val="00941472"/>
    <w:rsid w:val="00943936"/>
    <w:rsid w:val="00943E8F"/>
    <w:rsid w:val="00944312"/>
    <w:rsid w:val="009444B5"/>
    <w:rsid w:val="00951F62"/>
    <w:rsid w:val="00957385"/>
    <w:rsid w:val="009605BE"/>
    <w:rsid w:val="0096563F"/>
    <w:rsid w:val="00974A71"/>
    <w:rsid w:val="0097526B"/>
    <w:rsid w:val="00975D0B"/>
    <w:rsid w:val="00977FAA"/>
    <w:rsid w:val="0098060B"/>
    <w:rsid w:val="00980700"/>
    <w:rsid w:val="009844DB"/>
    <w:rsid w:val="00990413"/>
    <w:rsid w:val="00990F60"/>
    <w:rsid w:val="00993755"/>
    <w:rsid w:val="009949B2"/>
    <w:rsid w:val="00994E0F"/>
    <w:rsid w:val="009A1184"/>
    <w:rsid w:val="009A3023"/>
    <w:rsid w:val="009A3A3B"/>
    <w:rsid w:val="009A5AFA"/>
    <w:rsid w:val="009A78DE"/>
    <w:rsid w:val="009A7AE3"/>
    <w:rsid w:val="009B13DF"/>
    <w:rsid w:val="009B15FB"/>
    <w:rsid w:val="009B3342"/>
    <w:rsid w:val="009B5C54"/>
    <w:rsid w:val="009B661A"/>
    <w:rsid w:val="009B7CB6"/>
    <w:rsid w:val="009C119F"/>
    <w:rsid w:val="009C3005"/>
    <w:rsid w:val="009C4464"/>
    <w:rsid w:val="009C619B"/>
    <w:rsid w:val="009C6CCB"/>
    <w:rsid w:val="009D154C"/>
    <w:rsid w:val="009D165D"/>
    <w:rsid w:val="009D1B69"/>
    <w:rsid w:val="009D2C02"/>
    <w:rsid w:val="009D35B4"/>
    <w:rsid w:val="009D38AA"/>
    <w:rsid w:val="009E04A6"/>
    <w:rsid w:val="009E3D75"/>
    <w:rsid w:val="009E4625"/>
    <w:rsid w:val="009E46B5"/>
    <w:rsid w:val="009E6D48"/>
    <w:rsid w:val="009E7DBC"/>
    <w:rsid w:val="009F4112"/>
    <w:rsid w:val="009F7AD8"/>
    <w:rsid w:val="00A01454"/>
    <w:rsid w:val="00A01BFA"/>
    <w:rsid w:val="00A02C74"/>
    <w:rsid w:val="00A041EE"/>
    <w:rsid w:val="00A10B18"/>
    <w:rsid w:val="00A118C9"/>
    <w:rsid w:val="00A139DA"/>
    <w:rsid w:val="00A14179"/>
    <w:rsid w:val="00A15D4C"/>
    <w:rsid w:val="00A20EF8"/>
    <w:rsid w:val="00A23ED9"/>
    <w:rsid w:val="00A245E8"/>
    <w:rsid w:val="00A24964"/>
    <w:rsid w:val="00A25647"/>
    <w:rsid w:val="00A26631"/>
    <w:rsid w:val="00A32EDA"/>
    <w:rsid w:val="00A40845"/>
    <w:rsid w:val="00A43804"/>
    <w:rsid w:val="00A44C3F"/>
    <w:rsid w:val="00A47422"/>
    <w:rsid w:val="00A528F0"/>
    <w:rsid w:val="00A54F38"/>
    <w:rsid w:val="00A60CAB"/>
    <w:rsid w:val="00A611DD"/>
    <w:rsid w:val="00A63E61"/>
    <w:rsid w:val="00A63EA5"/>
    <w:rsid w:val="00A64A02"/>
    <w:rsid w:val="00A65190"/>
    <w:rsid w:val="00A6546A"/>
    <w:rsid w:val="00A65794"/>
    <w:rsid w:val="00A67A04"/>
    <w:rsid w:val="00A70AA1"/>
    <w:rsid w:val="00A762CE"/>
    <w:rsid w:val="00A80560"/>
    <w:rsid w:val="00A91839"/>
    <w:rsid w:val="00A92AD3"/>
    <w:rsid w:val="00A92CB9"/>
    <w:rsid w:val="00A93D0D"/>
    <w:rsid w:val="00A94295"/>
    <w:rsid w:val="00A95D29"/>
    <w:rsid w:val="00A96C88"/>
    <w:rsid w:val="00AA1068"/>
    <w:rsid w:val="00AA20BD"/>
    <w:rsid w:val="00AA2C3C"/>
    <w:rsid w:val="00AA3045"/>
    <w:rsid w:val="00AA3589"/>
    <w:rsid w:val="00AA3870"/>
    <w:rsid w:val="00AA72EE"/>
    <w:rsid w:val="00AB0E87"/>
    <w:rsid w:val="00AB3835"/>
    <w:rsid w:val="00AB547B"/>
    <w:rsid w:val="00AC04A5"/>
    <w:rsid w:val="00AC34F4"/>
    <w:rsid w:val="00AC3F67"/>
    <w:rsid w:val="00AC409C"/>
    <w:rsid w:val="00AC4FFD"/>
    <w:rsid w:val="00AD072D"/>
    <w:rsid w:val="00AD0906"/>
    <w:rsid w:val="00AD1902"/>
    <w:rsid w:val="00AD1D0F"/>
    <w:rsid w:val="00AD49A9"/>
    <w:rsid w:val="00AD6FB7"/>
    <w:rsid w:val="00AD735A"/>
    <w:rsid w:val="00AE1174"/>
    <w:rsid w:val="00AE1931"/>
    <w:rsid w:val="00AE222E"/>
    <w:rsid w:val="00AE3018"/>
    <w:rsid w:val="00AE3BFC"/>
    <w:rsid w:val="00AE5AA2"/>
    <w:rsid w:val="00AF1EF9"/>
    <w:rsid w:val="00AF339C"/>
    <w:rsid w:val="00AF3D01"/>
    <w:rsid w:val="00AF64EE"/>
    <w:rsid w:val="00AF682B"/>
    <w:rsid w:val="00AF6EE7"/>
    <w:rsid w:val="00AF6FC7"/>
    <w:rsid w:val="00B0085D"/>
    <w:rsid w:val="00B01DCF"/>
    <w:rsid w:val="00B030DC"/>
    <w:rsid w:val="00B03D18"/>
    <w:rsid w:val="00B069FD"/>
    <w:rsid w:val="00B07611"/>
    <w:rsid w:val="00B113A5"/>
    <w:rsid w:val="00B13781"/>
    <w:rsid w:val="00B13AA0"/>
    <w:rsid w:val="00B1439B"/>
    <w:rsid w:val="00B17FB3"/>
    <w:rsid w:val="00B20173"/>
    <w:rsid w:val="00B2021F"/>
    <w:rsid w:val="00B20A1D"/>
    <w:rsid w:val="00B21CA7"/>
    <w:rsid w:val="00B24A20"/>
    <w:rsid w:val="00B2692B"/>
    <w:rsid w:val="00B2728F"/>
    <w:rsid w:val="00B33A59"/>
    <w:rsid w:val="00B33E32"/>
    <w:rsid w:val="00B33F19"/>
    <w:rsid w:val="00B37555"/>
    <w:rsid w:val="00B41537"/>
    <w:rsid w:val="00B43992"/>
    <w:rsid w:val="00B47F15"/>
    <w:rsid w:val="00B528CB"/>
    <w:rsid w:val="00B52E64"/>
    <w:rsid w:val="00B53B99"/>
    <w:rsid w:val="00B54190"/>
    <w:rsid w:val="00B552FD"/>
    <w:rsid w:val="00B57EC7"/>
    <w:rsid w:val="00B63AA6"/>
    <w:rsid w:val="00B6588E"/>
    <w:rsid w:val="00B668A7"/>
    <w:rsid w:val="00B7005A"/>
    <w:rsid w:val="00B70610"/>
    <w:rsid w:val="00B767F5"/>
    <w:rsid w:val="00B81190"/>
    <w:rsid w:val="00B8270E"/>
    <w:rsid w:val="00B82919"/>
    <w:rsid w:val="00B82E36"/>
    <w:rsid w:val="00B82F5D"/>
    <w:rsid w:val="00B84C0F"/>
    <w:rsid w:val="00B8538C"/>
    <w:rsid w:val="00B85437"/>
    <w:rsid w:val="00B859BA"/>
    <w:rsid w:val="00B86537"/>
    <w:rsid w:val="00B86775"/>
    <w:rsid w:val="00B96564"/>
    <w:rsid w:val="00B97D37"/>
    <w:rsid w:val="00BA11C2"/>
    <w:rsid w:val="00BA364A"/>
    <w:rsid w:val="00BA5D7F"/>
    <w:rsid w:val="00BB36F4"/>
    <w:rsid w:val="00BB4011"/>
    <w:rsid w:val="00BB798E"/>
    <w:rsid w:val="00BB7DC4"/>
    <w:rsid w:val="00BC703D"/>
    <w:rsid w:val="00BC7CA6"/>
    <w:rsid w:val="00BD0141"/>
    <w:rsid w:val="00BD6301"/>
    <w:rsid w:val="00BD6A86"/>
    <w:rsid w:val="00BE282D"/>
    <w:rsid w:val="00BE3C10"/>
    <w:rsid w:val="00BE608D"/>
    <w:rsid w:val="00BE6C43"/>
    <w:rsid w:val="00BE75BC"/>
    <w:rsid w:val="00BF1625"/>
    <w:rsid w:val="00BF1C2A"/>
    <w:rsid w:val="00BF2169"/>
    <w:rsid w:val="00BF669E"/>
    <w:rsid w:val="00BF6A09"/>
    <w:rsid w:val="00C034C6"/>
    <w:rsid w:val="00C03607"/>
    <w:rsid w:val="00C05088"/>
    <w:rsid w:val="00C0559F"/>
    <w:rsid w:val="00C06878"/>
    <w:rsid w:val="00C10310"/>
    <w:rsid w:val="00C10B9C"/>
    <w:rsid w:val="00C11639"/>
    <w:rsid w:val="00C150EF"/>
    <w:rsid w:val="00C22C1B"/>
    <w:rsid w:val="00C2594B"/>
    <w:rsid w:val="00C27198"/>
    <w:rsid w:val="00C30754"/>
    <w:rsid w:val="00C325E1"/>
    <w:rsid w:val="00C3276B"/>
    <w:rsid w:val="00C36401"/>
    <w:rsid w:val="00C378A1"/>
    <w:rsid w:val="00C37C88"/>
    <w:rsid w:val="00C4071B"/>
    <w:rsid w:val="00C453A0"/>
    <w:rsid w:val="00C45564"/>
    <w:rsid w:val="00C47784"/>
    <w:rsid w:val="00C50653"/>
    <w:rsid w:val="00C50F4E"/>
    <w:rsid w:val="00C53608"/>
    <w:rsid w:val="00C548D0"/>
    <w:rsid w:val="00C56D14"/>
    <w:rsid w:val="00C6393F"/>
    <w:rsid w:val="00C647BB"/>
    <w:rsid w:val="00C64B9B"/>
    <w:rsid w:val="00C67162"/>
    <w:rsid w:val="00C67975"/>
    <w:rsid w:val="00C7021A"/>
    <w:rsid w:val="00C70432"/>
    <w:rsid w:val="00C73B76"/>
    <w:rsid w:val="00C7582A"/>
    <w:rsid w:val="00C762FB"/>
    <w:rsid w:val="00C801D8"/>
    <w:rsid w:val="00C8109D"/>
    <w:rsid w:val="00C82923"/>
    <w:rsid w:val="00C83956"/>
    <w:rsid w:val="00C9069F"/>
    <w:rsid w:val="00C908BF"/>
    <w:rsid w:val="00C91103"/>
    <w:rsid w:val="00C91563"/>
    <w:rsid w:val="00C9298D"/>
    <w:rsid w:val="00CA075B"/>
    <w:rsid w:val="00CA216D"/>
    <w:rsid w:val="00CA281E"/>
    <w:rsid w:val="00CA3541"/>
    <w:rsid w:val="00CA3FA3"/>
    <w:rsid w:val="00CA6820"/>
    <w:rsid w:val="00CB116F"/>
    <w:rsid w:val="00CB22C5"/>
    <w:rsid w:val="00CB4312"/>
    <w:rsid w:val="00CB496B"/>
    <w:rsid w:val="00CB4AF2"/>
    <w:rsid w:val="00CB62FC"/>
    <w:rsid w:val="00CC1FDD"/>
    <w:rsid w:val="00CC2683"/>
    <w:rsid w:val="00CC28B0"/>
    <w:rsid w:val="00CC3831"/>
    <w:rsid w:val="00CD2C22"/>
    <w:rsid w:val="00CD6F7B"/>
    <w:rsid w:val="00CD705B"/>
    <w:rsid w:val="00CE21AE"/>
    <w:rsid w:val="00CE2461"/>
    <w:rsid w:val="00CE2C62"/>
    <w:rsid w:val="00CE512D"/>
    <w:rsid w:val="00CE6B33"/>
    <w:rsid w:val="00CF05AF"/>
    <w:rsid w:val="00CF2F46"/>
    <w:rsid w:val="00CF75F6"/>
    <w:rsid w:val="00CF7820"/>
    <w:rsid w:val="00D02BC4"/>
    <w:rsid w:val="00D03DC4"/>
    <w:rsid w:val="00D07678"/>
    <w:rsid w:val="00D112F4"/>
    <w:rsid w:val="00D135B9"/>
    <w:rsid w:val="00D14E98"/>
    <w:rsid w:val="00D15736"/>
    <w:rsid w:val="00D162B8"/>
    <w:rsid w:val="00D16B2F"/>
    <w:rsid w:val="00D20D0E"/>
    <w:rsid w:val="00D232E8"/>
    <w:rsid w:val="00D23EF0"/>
    <w:rsid w:val="00D26488"/>
    <w:rsid w:val="00D3313E"/>
    <w:rsid w:val="00D336BC"/>
    <w:rsid w:val="00D3414D"/>
    <w:rsid w:val="00D34ADA"/>
    <w:rsid w:val="00D35741"/>
    <w:rsid w:val="00D457FC"/>
    <w:rsid w:val="00D46311"/>
    <w:rsid w:val="00D52E46"/>
    <w:rsid w:val="00D53008"/>
    <w:rsid w:val="00D54C5A"/>
    <w:rsid w:val="00D553FE"/>
    <w:rsid w:val="00D55DF9"/>
    <w:rsid w:val="00D56E91"/>
    <w:rsid w:val="00D5732F"/>
    <w:rsid w:val="00D61DE3"/>
    <w:rsid w:val="00D65286"/>
    <w:rsid w:val="00D65504"/>
    <w:rsid w:val="00D6667C"/>
    <w:rsid w:val="00D72725"/>
    <w:rsid w:val="00D72726"/>
    <w:rsid w:val="00D74287"/>
    <w:rsid w:val="00D81F76"/>
    <w:rsid w:val="00D82FE8"/>
    <w:rsid w:val="00D8347E"/>
    <w:rsid w:val="00D83BC2"/>
    <w:rsid w:val="00D87083"/>
    <w:rsid w:val="00D90BEF"/>
    <w:rsid w:val="00D95A6D"/>
    <w:rsid w:val="00D96BB6"/>
    <w:rsid w:val="00DA0563"/>
    <w:rsid w:val="00DA2B6C"/>
    <w:rsid w:val="00DA555E"/>
    <w:rsid w:val="00DA6DCB"/>
    <w:rsid w:val="00DB149D"/>
    <w:rsid w:val="00DB476C"/>
    <w:rsid w:val="00DB4E4C"/>
    <w:rsid w:val="00DB6CB2"/>
    <w:rsid w:val="00DC1153"/>
    <w:rsid w:val="00DC128F"/>
    <w:rsid w:val="00DC3DE2"/>
    <w:rsid w:val="00DC4246"/>
    <w:rsid w:val="00DC7E4A"/>
    <w:rsid w:val="00DD301D"/>
    <w:rsid w:val="00DD3FA9"/>
    <w:rsid w:val="00DD42E1"/>
    <w:rsid w:val="00DE08C4"/>
    <w:rsid w:val="00DE0E21"/>
    <w:rsid w:val="00DE11DE"/>
    <w:rsid w:val="00DE258E"/>
    <w:rsid w:val="00DE3D66"/>
    <w:rsid w:val="00DE7051"/>
    <w:rsid w:val="00DE764C"/>
    <w:rsid w:val="00DE7A35"/>
    <w:rsid w:val="00DF0749"/>
    <w:rsid w:val="00DF3958"/>
    <w:rsid w:val="00DF5536"/>
    <w:rsid w:val="00E00427"/>
    <w:rsid w:val="00E0721D"/>
    <w:rsid w:val="00E100B6"/>
    <w:rsid w:val="00E1193B"/>
    <w:rsid w:val="00E12A37"/>
    <w:rsid w:val="00E15A44"/>
    <w:rsid w:val="00E169A7"/>
    <w:rsid w:val="00E2200F"/>
    <w:rsid w:val="00E233B8"/>
    <w:rsid w:val="00E23663"/>
    <w:rsid w:val="00E2412F"/>
    <w:rsid w:val="00E24898"/>
    <w:rsid w:val="00E254AF"/>
    <w:rsid w:val="00E271D1"/>
    <w:rsid w:val="00E27A73"/>
    <w:rsid w:val="00E30234"/>
    <w:rsid w:val="00E336C8"/>
    <w:rsid w:val="00E36689"/>
    <w:rsid w:val="00E3775D"/>
    <w:rsid w:val="00E44569"/>
    <w:rsid w:val="00E52042"/>
    <w:rsid w:val="00E57E68"/>
    <w:rsid w:val="00E602AF"/>
    <w:rsid w:val="00E60858"/>
    <w:rsid w:val="00E61A1F"/>
    <w:rsid w:val="00E61D74"/>
    <w:rsid w:val="00E61E99"/>
    <w:rsid w:val="00E6345D"/>
    <w:rsid w:val="00E64E63"/>
    <w:rsid w:val="00E67720"/>
    <w:rsid w:val="00E70376"/>
    <w:rsid w:val="00E70F11"/>
    <w:rsid w:val="00E712DA"/>
    <w:rsid w:val="00E77F4A"/>
    <w:rsid w:val="00E77FFE"/>
    <w:rsid w:val="00E8369A"/>
    <w:rsid w:val="00E83F82"/>
    <w:rsid w:val="00E851C8"/>
    <w:rsid w:val="00E86F75"/>
    <w:rsid w:val="00E90434"/>
    <w:rsid w:val="00E93A81"/>
    <w:rsid w:val="00E952E2"/>
    <w:rsid w:val="00EA18BA"/>
    <w:rsid w:val="00EA56C2"/>
    <w:rsid w:val="00EA7748"/>
    <w:rsid w:val="00EB1F2E"/>
    <w:rsid w:val="00EB35B8"/>
    <w:rsid w:val="00EB710F"/>
    <w:rsid w:val="00EB7138"/>
    <w:rsid w:val="00EC12C7"/>
    <w:rsid w:val="00EC6AA8"/>
    <w:rsid w:val="00EC7C7C"/>
    <w:rsid w:val="00ED0864"/>
    <w:rsid w:val="00ED7896"/>
    <w:rsid w:val="00ED7FF4"/>
    <w:rsid w:val="00EE185F"/>
    <w:rsid w:val="00EE26CF"/>
    <w:rsid w:val="00EE3D2B"/>
    <w:rsid w:val="00EE4298"/>
    <w:rsid w:val="00EF077E"/>
    <w:rsid w:val="00EF199B"/>
    <w:rsid w:val="00EF2508"/>
    <w:rsid w:val="00EF375C"/>
    <w:rsid w:val="00EF3DFC"/>
    <w:rsid w:val="00EF4D49"/>
    <w:rsid w:val="00EF6009"/>
    <w:rsid w:val="00EF63C1"/>
    <w:rsid w:val="00EF7641"/>
    <w:rsid w:val="00EF7B96"/>
    <w:rsid w:val="00EF7EA6"/>
    <w:rsid w:val="00F02E38"/>
    <w:rsid w:val="00F032BF"/>
    <w:rsid w:val="00F03E7F"/>
    <w:rsid w:val="00F14362"/>
    <w:rsid w:val="00F14B74"/>
    <w:rsid w:val="00F179F5"/>
    <w:rsid w:val="00F200D4"/>
    <w:rsid w:val="00F2048C"/>
    <w:rsid w:val="00F21C41"/>
    <w:rsid w:val="00F2215C"/>
    <w:rsid w:val="00F269F7"/>
    <w:rsid w:val="00F26C67"/>
    <w:rsid w:val="00F27D2C"/>
    <w:rsid w:val="00F35D15"/>
    <w:rsid w:val="00F37B45"/>
    <w:rsid w:val="00F40460"/>
    <w:rsid w:val="00F4230A"/>
    <w:rsid w:val="00F50F53"/>
    <w:rsid w:val="00F51F6C"/>
    <w:rsid w:val="00F54062"/>
    <w:rsid w:val="00F541D2"/>
    <w:rsid w:val="00F6019A"/>
    <w:rsid w:val="00F61C35"/>
    <w:rsid w:val="00F64049"/>
    <w:rsid w:val="00F64862"/>
    <w:rsid w:val="00F654EA"/>
    <w:rsid w:val="00F66959"/>
    <w:rsid w:val="00F66BC8"/>
    <w:rsid w:val="00F70BBB"/>
    <w:rsid w:val="00F71A33"/>
    <w:rsid w:val="00F727CE"/>
    <w:rsid w:val="00F73D2F"/>
    <w:rsid w:val="00F73E05"/>
    <w:rsid w:val="00F803E9"/>
    <w:rsid w:val="00F80528"/>
    <w:rsid w:val="00F80724"/>
    <w:rsid w:val="00F81CFC"/>
    <w:rsid w:val="00F87164"/>
    <w:rsid w:val="00F87BA4"/>
    <w:rsid w:val="00F91E46"/>
    <w:rsid w:val="00F940DD"/>
    <w:rsid w:val="00F94615"/>
    <w:rsid w:val="00F95E04"/>
    <w:rsid w:val="00FA1BB7"/>
    <w:rsid w:val="00FA4A6D"/>
    <w:rsid w:val="00FA6C96"/>
    <w:rsid w:val="00FB0AC7"/>
    <w:rsid w:val="00FB18E0"/>
    <w:rsid w:val="00FB39BB"/>
    <w:rsid w:val="00FB7136"/>
    <w:rsid w:val="00FC0850"/>
    <w:rsid w:val="00FC2F67"/>
    <w:rsid w:val="00FC5188"/>
    <w:rsid w:val="00FC5652"/>
    <w:rsid w:val="00FC60D0"/>
    <w:rsid w:val="00FC60E7"/>
    <w:rsid w:val="00FD1BD2"/>
    <w:rsid w:val="00FD20AD"/>
    <w:rsid w:val="00FD4173"/>
    <w:rsid w:val="00FD4520"/>
    <w:rsid w:val="00FE0190"/>
    <w:rsid w:val="00FE0447"/>
    <w:rsid w:val="00FE1869"/>
    <w:rsid w:val="00FE7B04"/>
    <w:rsid w:val="00FF1592"/>
    <w:rsid w:val="00FF2D6D"/>
    <w:rsid w:val="00FF7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4E"/>
    <w:pPr>
      <w:spacing w:after="0" w:line="240"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14E"/>
    <w:rPr>
      <w:color w:val="0000FF" w:themeColor="hyperlink"/>
      <w:u w:val="single"/>
    </w:rPr>
  </w:style>
  <w:style w:type="paragraph" w:customStyle="1" w:styleId="Default">
    <w:name w:val="Default"/>
    <w:rsid w:val="0030114E"/>
    <w:pPr>
      <w:autoSpaceDE w:val="0"/>
      <w:autoSpaceDN w:val="0"/>
      <w:adjustRightInd w:val="0"/>
      <w:spacing w:after="0" w:line="240" w:lineRule="auto"/>
    </w:pPr>
    <w:rPr>
      <w:rFonts w:eastAsiaTheme="minorEastAsia" w:cs="Calibri"/>
      <w:color w:val="000000"/>
      <w:sz w:val="24"/>
      <w:szCs w:val="24"/>
    </w:rPr>
  </w:style>
  <w:style w:type="paragraph" w:styleId="Footer">
    <w:name w:val="footer"/>
    <w:basedOn w:val="Normal"/>
    <w:link w:val="FooterChar"/>
    <w:uiPriority w:val="99"/>
    <w:unhideWhenUsed/>
    <w:rsid w:val="0030114E"/>
    <w:pPr>
      <w:tabs>
        <w:tab w:val="center" w:pos="4680"/>
        <w:tab w:val="right" w:pos="9360"/>
      </w:tabs>
    </w:pPr>
  </w:style>
  <w:style w:type="character" w:customStyle="1" w:styleId="FooterChar">
    <w:name w:val="Footer Char"/>
    <w:basedOn w:val="DefaultParagraphFont"/>
    <w:link w:val="Footer"/>
    <w:uiPriority w:val="99"/>
    <w:rsid w:val="0030114E"/>
    <w:rPr>
      <w:rFonts w:asciiTheme="minorHAnsi" w:eastAsiaTheme="minorEastAsia" w:hAnsiTheme="minorHAnsi" w:cstheme="minorBidi"/>
      <w:sz w:val="22"/>
      <w:szCs w:val="22"/>
    </w:rPr>
  </w:style>
  <w:style w:type="paragraph" w:styleId="Title">
    <w:name w:val="Title"/>
    <w:basedOn w:val="Normal"/>
    <w:next w:val="Normal"/>
    <w:link w:val="TitleChar"/>
    <w:uiPriority w:val="99"/>
    <w:qFormat/>
    <w:rsid w:val="003011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30114E"/>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aliases w:val="FT,Car"/>
    <w:basedOn w:val="Normal"/>
    <w:link w:val="FootnoteTextChar1"/>
    <w:uiPriority w:val="99"/>
    <w:rsid w:val="0030114E"/>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30114E"/>
    <w:rPr>
      <w:rFonts w:asciiTheme="minorHAnsi" w:eastAsiaTheme="minorEastAsia" w:hAnsiTheme="minorHAnsi" w:cstheme="minorBidi"/>
    </w:rPr>
  </w:style>
  <w:style w:type="character" w:customStyle="1" w:styleId="FootnoteTextChar1">
    <w:name w:val="Footnote Text Char1"/>
    <w:aliases w:val="FT Char,Car Char"/>
    <w:link w:val="FootnoteText"/>
    <w:uiPriority w:val="99"/>
    <w:rsid w:val="0030114E"/>
    <w:rPr>
      <w:rFonts w:ascii="Times New Roman" w:eastAsia="Times New Roman" w:hAnsi="Times New Roman"/>
    </w:rPr>
  </w:style>
  <w:style w:type="character" w:styleId="FootnoteReference">
    <w:name w:val="footnote reference"/>
    <w:aliases w:val="Comment Text Char1"/>
    <w:uiPriority w:val="99"/>
    <w:rsid w:val="0030114E"/>
    <w:rPr>
      <w:vertAlign w:val="superscript"/>
    </w:rPr>
  </w:style>
  <w:style w:type="table" w:styleId="TableGrid">
    <w:name w:val="Table Grid"/>
    <w:basedOn w:val="TableNormal"/>
    <w:uiPriority w:val="59"/>
    <w:rsid w:val="0030114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B71"/>
    <w:pPr>
      <w:ind w:left="720"/>
      <w:contextualSpacing/>
    </w:pPr>
  </w:style>
  <w:style w:type="character" w:styleId="CommentReference">
    <w:name w:val="annotation reference"/>
    <w:basedOn w:val="DefaultParagraphFont"/>
    <w:uiPriority w:val="99"/>
    <w:rsid w:val="006E6B71"/>
    <w:rPr>
      <w:rFonts w:cs="Times New Roman"/>
      <w:sz w:val="16"/>
      <w:szCs w:val="16"/>
    </w:rPr>
  </w:style>
  <w:style w:type="paragraph" w:styleId="CommentText">
    <w:name w:val="annotation text"/>
    <w:basedOn w:val="Normal"/>
    <w:link w:val="CommentTextChar"/>
    <w:uiPriority w:val="99"/>
    <w:rsid w:val="006E6B71"/>
    <w:pPr>
      <w:jc w:val="both"/>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6E6B71"/>
    <w:rPr>
      <w:rFonts w:eastAsia="Times New Roman"/>
    </w:rPr>
  </w:style>
  <w:style w:type="paragraph" w:styleId="BalloonText">
    <w:name w:val="Balloon Text"/>
    <w:basedOn w:val="Normal"/>
    <w:link w:val="BalloonTextChar"/>
    <w:uiPriority w:val="99"/>
    <w:semiHidden/>
    <w:unhideWhenUsed/>
    <w:rsid w:val="006E6B71"/>
    <w:rPr>
      <w:rFonts w:ascii="Tahoma" w:hAnsi="Tahoma" w:cs="Tahoma"/>
      <w:sz w:val="16"/>
      <w:szCs w:val="16"/>
    </w:rPr>
  </w:style>
  <w:style w:type="character" w:customStyle="1" w:styleId="BalloonTextChar">
    <w:name w:val="Balloon Text Char"/>
    <w:basedOn w:val="DefaultParagraphFont"/>
    <w:link w:val="BalloonText"/>
    <w:uiPriority w:val="99"/>
    <w:semiHidden/>
    <w:rsid w:val="006E6B71"/>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BC703D"/>
    <w:pPr>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BC703D"/>
    <w:rPr>
      <w:rFonts w:asciiTheme="minorHAnsi" w:eastAsiaTheme="minorEastAsia" w:hAnsiTheme="minorHAnsi" w:cstheme="minorBidi"/>
      <w:b/>
      <w:bCs/>
    </w:rPr>
  </w:style>
  <w:style w:type="character" w:styleId="FollowedHyperlink">
    <w:name w:val="FollowedHyperlink"/>
    <w:basedOn w:val="DefaultParagraphFont"/>
    <w:uiPriority w:val="99"/>
    <w:semiHidden/>
    <w:unhideWhenUsed/>
    <w:rsid w:val="00F37B45"/>
    <w:rPr>
      <w:color w:val="800080" w:themeColor="followedHyperlink"/>
      <w:u w:val="single"/>
    </w:rPr>
  </w:style>
  <w:style w:type="paragraph" w:styleId="Header">
    <w:name w:val="header"/>
    <w:basedOn w:val="Normal"/>
    <w:link w:val="HeaderChar"/>
    <w:uiPriority w:val="99"/>
    <w:unhideWhenUsed/>
    <w:rsid w:val="00577FE8"/>
    <w:pPr>
      <w:tabs>
        <w:tab w:val="center" w:pos="4680"/>
        <w:tab w:val="right" w:pos="9360"/>
      </w:tabs>
    </w:pPr>
  </w:style>
  <w:style w:type="character" w:customStyle="1" w:styleId="HeaderChar">
    <w:name w:val="Header Char"/>
    <w:basedOn w:val="DefaultParagraphFont"/>
    <w:link w:val="Header"/>
    <w:uiPriority w:val="99"/>
    <w:rsid w:val="00577FE8"/>
    <w:rPr>
      <w:rFonts w:asciiTheme="minorHAnsi" w:eastAsiaTheme="minorEastAsia" w:hAnsiTheme="minorHAnsi" w:cstheme="minorBidi"/>
      <w:sz w:val="22"/>
      <w:szCs w:val="22"/>
    </w:rPr>
  </w:style>
  <w:style w:type="paragraph" w:styleId="NormalWeb">
    <w:name w:val="Normal (Web)"/>
    <w:basedOn w:val="Normal"/>
    <w:uiPriority w:val="99"/>
    <w:semiHidden/>
    <w:unhideWhenUsed/>
    <w:rsid w:val="0049106F"/>
    <w:pPr>
      <w:spacing w:before="100" w:beforeAutospacing="1" w:after="100" w:afterAutospacing="1"/>
    </w:pPr>
    <w:rPr>
      <w:rFonts w:ascii="Times New Roman" w:eastAsiaTheme="minorHAnsi" w:hAnsi="Times New Roman" w:cs="Times New Roman"/>
      <w:sz w:val="24"/>
      <w:szCs w:val="24"/>
    </w:rPr>
  </w:style>
  <w:style w:type="paragraph" w:styleId="Revision">
    <w:name w:val="Revision"/>
    <w:hidden/>
    <w:uiPriority w:val="99"/>
    <w:semiHidden/>
    <w:rsid w:val="007B2A06"/>
    <w:pPr>
      <w:spacing w:after="0" w:line="240" w:lineRule="auto"/>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4E"/>
    <w:pPr>
      <w:spacing w:after="0" w:line="240"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14E"/>
    <w:rPr>
      <w:color w:val="0000FF" w:themeColor="hyperlink"/>
      <w:u w:val="single"/>
    </w:rPr>
  </w:style>
  <w:style w:type="paragraph" w:customStyle="1" w:styleId="Default">
    <w:name w:val="Default"/>
    <w:rsid w:val="0030114E"/>
    <w:pPr>
      <w:autoSpaceDE w:val="0"/>
      <w:autoSpaceDN w:val="0"/>
      <w:adjustRightInd w:val="0"/>
      <w:spacing w:after="0" w:line="240" w:lineRule="auto"/>
    </w:pPr>
    <w:rPr>
      <w:rFonts w:eastAsiaTheme="minorEastAsia" w:cs="Calibri"/>
      <w:color w:val="000000"/>
      <w:sz w:val="24"/>
      <w:szCs w:val="24"/>
    </w:rPr>
  </w:style>
  <w:style w:type="paragraph" w:styleId="Footer">
    <w:name w:val="footer"/>
    <w:basedOn w:val="Normal"/>
    <w:link w:val="FooterChar"/>
    <w:uiPriority w:val="99"/>
    <w:unhideWhenUsed/>
    <w:rsid w:val="0030114E"/>
    <w:pPr>
      <w:tabs>
        <w:tab w:val="center" w:pos="4680"/>
        <w:tab w:val="right" w:pos="9360"/>
      </w:tabs>
    </w:pPr>
  </w:style>
  <w:style w:type="character" w:customStyle="1" w:styleId="FooterChar">
    <w:name w:val="Footer Char"/>
    <w:basedOn w:val="DefaultParagraphFont"/>
    <w:link w:val="Footer"/>
    <w:uiPriority w:val="99"/>
    <w:rsid w:val="0030114E"/>
    <w:rPr>
      <w:rFonts w:asciiTheme="minorHAnsi" w:eastAsiaTheme="minorEastAsia" w:hAnsiTheme="minorHAnsi" w:cstheme="minorBidi"/>
      <w:sz w:val="22"/>
      <w:szCs w:val="22"/>
    </w:rPr>
  </w:style>
  <w:style w:type="paragraph" w:styleId="Title">
    <w:name w:val="Title"/>
    <w:basedOn w:val="Normal"/>
    <w:next w:val="Normal"/>
    <w:link w:val="TitleChar"/>
    <w:uiPriority w:val="99"/>
    <w:qFormat/>
    <w:rsid w:val="003011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30114E"/>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aliases w:val="FT,Car"/>
    <w:basedOn w:val="Normal"/>
    <w:link w:val="FootnoteTextChar1"/>
    <w:uiPriority w:val="99"/>
    <w:rsid w:val="0030114E"/>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30114E"/>
    <w:rPr>
      <w:rFonts w:asciiTheme="minorHAnsi" w:eastAsiaTheme="minorEastAsia" w:hAnsiTheme="minorHAnsi" w:cstheme="minorBidi"/>
    </w:rPr>
  </w:style>
  <w:style w:type="character" w:customStyle="1" w:styleId="FootnoteTextChar1">
    <w:name w:val="Footnote Text Char1"/>
    <w:aliases w:val="FT Char,Car Char"/>
    <w:link w:val="FootnoteText"/>
    <w:uiPriority w:val="99"/>
    <w:rsid w:val="0030114E"/>
    <w:rPr>
      <w:rFonts w:ascii="Times New Roman" w:eastAsia="Times New Roman" w:hAnsi="Times New Roman"/>
    </w:rPr>
  </w:style>
  <w:style w:type="character" w:styleId="FootnoteReference">
    <w:name w:val="footnote reference"/>
    <w:aliases w:val="Comment Text Char1"/>
    <w:uiPriority w:val="99"/>
    <w:rsid w:val="0030114E"/>
    <w:rPr>
      <w:vertAlign w:val="superscript"/>
    </w:rPr>
  </w:style>
  <w:style w:type="table" w:styleId="TableGrid">
    <w:name w:val="Table Grid"/>
    <w:basedOn w:val="TableNormal"/>
    <w:uiPriority w:val="59"/>
    <w:rsid w:val="0030114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B71"/>
    <w:pPr>
      <w:ind w:left="720"/>
      <w:contextualSpacing/>
    </w:pPr>
  </w:style>
  <w:style w:type="character" w:styleId="CommentReference">
    <w:name w:val="annotation reference"/>
    <w:basedOn w:val="DefaultParagraphFont"/>
    <w:uiPriority w:val="99"/>
    <w:rsid w:val="006E6B71"/>
    <w:rPr>
      <w:rFonts w:cs="Times New Roman"/>
      <w:sz w:val="16"/>
      <w:szCs w:val="16"/>
    </w:rPr>
  </w:style>
  <w:style w:type="paragraph" w:styleId="CommentText">
    <w:name w:val="annotation text"/>
    <w:basedOn w:val="Normal"/>
    <w:link w:val="CommentTextChar"/>
    <w:uiPriority w:val="99"/>
    <w:rsid w:val="006E6B71"/>
    <w:pPr>
      <w:jc w:val="both"/>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6E6B71"/>
    <w:rPr>
      <w:rFonts w:eastAsia="Times New Roman"/>
    </w:rPr>
  </w:style>
  <w:style w:type="paragraph" w:styleId="BalloonText">
    <w:name w:val="Balloon Text"/>
    <w:basedOn w:val="Normal"/>
    <w:link w:val="BalloonTextChar"/>
    <w:uiPriority w:val="99"/>
    <w:semiHidden/>
    <w:unhideWhenUsed/>
    <w:rsid w:val="006E6B71"/>
    <w:rPr>
      <w:rFonts w:ascii="Tahoma" w:hAnsi="Tahoma" w:cs="Tahoma"/>
      <w:sz w:val="16"/>
      <w:szCs w:val="16"/>
    </w:rPr>
  </w:style>
  <w:style w:type="character" w:customStyle="1" w:styleId="BalloonTextChar">
    <w:name w:val="Balloon Text Char"/>
    <w:basedOn w:val="DefaultParagraphFont"/>
    <w:link w:val="BalloonText"/>
    <w:uiPriority w:val="99"/>
    <w:semiHidden/>
    <w:rsid w:val="006E6B71"/>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BC703D"/>
    <w:pPr>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BC703D"/>
    <w:rPr>
      <w:rFonts w:asciiTheme="minorHAnsi" w:eastAsiaTheme="minorEastAsia" w:hAnsiTheme="minorHAnsi" w:cstheme="minorBidi"/>
      <w:b/>
      <w:bCs/>
    </w:rPr>
  </w:style>
  <w:style w:type="character" w:styleId="FollowedHyperlink">
    <w:name w:val="FollowedHyperlink"/>
    <w:basedOn w:val="DefaultParagraphFont"/>
    <w:uiPriority w:val="99"/>
    <w:semiHidden/>
    <w:unhideWhenUsed/>
    <w:rsid w:val="00F37B45"/>
    <w:rPr>
      <w:color w:val="800080" w:themeColor="followedHyperlink"/>
      <w:u w:val="single"/>
    </w:rPr>
  </w:style>
  <w:style w:type="paragraph" w:styleId="Header">
    <w:name w:val="header"/>
    <w:basedOn w:val="Normal"/>
    <w:link w:val="HeaderChar"/>
    <w:uiPriority w:val="99"/>
    <w:unhideWhenUsed/>
    <w:rsid w:val="00577FE8"/>
    <w:pPr>
      <w:tabs>
        <w:tab w:val="center" w:pos="4680"/>
        <w:tab w:val="right" w:pos="9360"/>
      </w:tabs>
    </w:pPr>
  </w:style>
  <w:style w:type="character" w:customStyle="1" w:styleId="HeaderChar">
    <w:name w:val="Header Char"/>
    <w:basedOn w:val="DefaultParagraphFont"/>
    <w:link w:val="Header"/>
    <w:uiPriority w:val="99"/>
    <w:rsid w:val="00577FE8"/>
    <w:rPr>
      <w:rFonts w:asciiTheme="minorHAnsi" w:eastAsiaTheme="minorEastAsia" w:hAnsiTheme="minorHAnsi" w:cstheme="minorBidi"/>
      <w:sz w:val="22"/>
      <w:szCs w:val="22"/>
    </w:rPr>
  </w:style>
  <w:style w:type="paragraph" w:styleId="NormalWeb">
    <w:name w:val="Normal (Web)"/>
    <w:basedOn w:val="Normal"/>
    <w:uiPriority w:val="99"/>
    <w:semiHidden/>
    <w:unhideWhenUsed/>
    <w:rsid w:val="0049106F"/>
    <w:pPr>
      <w:spacing w:before="100" w:beforeAutospacing="1" w:after="100" w:afterAutospacing="1"/>
    </w:pPr>
    <w:rPr>
      <w:rFonts w:ascii="Times New Roman" w:eastAsiaTheme="minorHAnsi" w:hAnsi="Times New Roman" w:cs="Times New Roman"/>
      <w:sz w:val="24"/>
      <w:szCs w:val="24"/>
    </w:rPr>
  </w:style>
  <w:style w:type="paragraph" w:styleId="Revision">
    <w:name w:val="Revision"/>
    <w:hidden/>
    <w:uiPriority w:val="99"/>
    <w:semiHidden/>
    <w:rsid w:val="007B2A06"/>
    <w:pPr>
      <w:spacing w:after="0" w:line="240"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1119">
      <w:bodyDiv w:val="1"/>
      <w:marLeft w:val="0"/>
      <w:marRight w:val="0"/>
      <w:marTop w:val="0"/>
      <w:marBottom w:val="0"/>
      <w:divBdr>
        <w:top w:val="none" w:sz="0" w:space="0" w:color="auto"/>
        <w:left w:val="none" w:sz="0" w:space="0" w:color="auto"/>
        <w:bottom w:val="none" w:sz="0" w:space="0" w:color="auto"/>
        <w:right w:val="none" w:sz="0" w:space="0" w:color="auto"/>
      </w:divBdr>
    </w:div>
    <w:div w:id="56633456">
      <w:bodyDiv w:val="1"/>
      <w:marLeft w:val="0"/>
      <w:marRight w:val="0"/>
      <w:marTop w:val="0"/>
      <w:marBottom w:val="0"/>
      <w:divBdr>
        <w:top w:val="none" w:sz="0" w:space="0" w:color="auto"/>
        <w:left w:val="none" w:sz="0" w:space="0" w:color="auto"/>
        <w:bottom w:val="none" w:sz="0" w:space="0" w:color="auto"/>
        <w:right w:val="none" w:sz="0" w:space="0" w:color="auto"/>
      </w:divBdr>
    </w:div>
    <w:div w:id="102500001">
      <w:bodyDiv w:val="1"/>
      <w:marLeft w:val="0"/>
      <w:marRight w:val="0"/>
      <w:marTop w:val="0"/>
      <w:marBottom w:val="0"/>
      <w:divBdr>
        <w:top w:val="none" w:sz="0" w:space="0" w:color="auto"/>
        <w:left w:val="none" w:sz="0" w:space="0" w:color="auto"/>
        <w:bottom w:val="none" w:sz="0" w:space="0" w:color="auto"/>
        <w:right w:val="none" w:sz="0" w:space="0" w:color="auto"/>
      </w:divBdr>
    </w:div>
    <w:div w:id="173417743">
      <w:bodyDiv w:val="1"/>
      <w:marLeft w:val="0"/>
      <w:marRight w:val="0"/>
      <w:marTop w:val="0"/>
      <w:marBottom w:val="0"/>
      <w:divBdr>
        <w:top w:val="none" w:sz="0" w:space="0" w:color="auto"/>
        <w:left w:val="none" w:sz="0" w:space="0" w:color="auto"/>
        <w:bottom w:val="none" w:sz="0" w:space="0" w:color="auto"/>
        <w:right w:val="none" w:sz="0" w:space="0" w:color="auto"/>
      </w:divBdr>
    </w:div>
    <w:div w:id="212470185">
      <w:bodyDiv w:val="1"/>
      <w:marLeft w:val="0"/>
      <w:marRight w:val="0"/>
      <w:marTop w:val="0"/>
      <w:marBottom w:val="0"/>
      <w:divBdr>
        <w:top w:val="none" w:sz="0" w:space="0" w:color="auto"/>
        <w:left w:val="none" w:sz="0" w:space="0" w:color="auto"/>
        <w:bottom w:val="none" w:sz="0" w:space="0" w:color="auto"/>
        <w:right w:val="none" w:sz="0" w:space="0" w:color="auto"/>
      </w:divBdr>
    </w:div>
    <w:div w:id="215287764">
      <w:bodyDiv w:val="1"/>
      <w:marLeft w:val="0"/>
      <w:marRight w:val="0"/>
      <w:marTop w:val="0"/>
      <w:marBottom w:val="0"/>
      <w:divBdr>
        <w:top w:val="none" w:sz="0" w:space="0" w:color="auto"/>
        <w:left w:val="none" w:sz="0" w:space="0" w:color="auto"/>
        <w:bottom w:val="none" w:sz="0" w:space="0" w:color="auto"/>
        <w:right w:val="none" w:sz="0" w:space="0" w:color="auto"/>
      </w:divBdr>
    </w:div>
    <w:div w:id="223688331">
      <w:bodyDiv w:val="1"/>
      <w:marLeft w:val="0"/>
      <w:marRight w:val="0"/>
      <w:marTop w:val="0"/>
      <w:marBottom w:val="0"/>
      <w:divBdr>
        <w:top w:val="none" w:sz="0" w:space="0" w:color="auto"/>
        <w:left w:val="none" w:sz="0" w:space="0" w:color="auto"/>
        <w:bottom w:val="none" w:sz="0" w:space="0" w:color="auto"/>
        <w:right w:val="none" w:sz="0" w:space="0" w:color="auto"/>
      </w:divBdr>
    </w:div>
    <w:div w:id="251398468">
      <w:bodyDiv w:val="1"/>
      <w:marLeft w:val="0"/>
      <w:marRight w:val="0"/>
      <w:marTop w:val="0"/>
      <w:marBottom w:val="0"/>
      <w:divBdr>
        <w:top w:val="none" w:sz="0" w:space="0" w:color="auto"/>
        <w:left w:val="none" w:sz="0" w:space="0" w:color="auto"/>
        <w:bottom w:val="none" w:sz="0" w:space="0" w:color="auto"/>
        <w:right w:val="none" w:sz="0" w:space="0" w:color="auto"/>
      </w:divBdr>
    </w:div>
    <w:div w:id="288974919">
      <w:bodyDiv w:val="1"/>
      <w:marLeft w:val="0"/>
      <w:marRight w:val="0"/>
      <w:marTop w:val="0"/>
      <w:marBottom w:val="0"/>
      <w:divBdr>
        <w:top w:val="none" w:sz="0" w:space="0" w:color="auto"/>
        <w:left w:val="none" w:sz="0" w:space="0" w:color="auto"/>
        <w:bottom w:val="none" w:sz="0" w:space="0" w:color="auto"/>
        <w:right w:val="none" w:sz="0" w:space="0" w:color="auto"/>
      </w:divBdr>
    </w:div>
    <w:div w:id="289021927">
      <w:bodyDiv w:val="1"/>
      <w:marLeft w:val="0"/>
      <w:marRight w:val="0"/>
      <w:marTop w:val="0"/>
      <w:marBottom w:val="0"/>
      <w:divBdr>
        <w:top w:val="none" w:sz="0" w:space="0" w:color="auto"/>
        <w:left w:val="none" w:sz="0" w:space="0" w:color="auto"/>
        <w:bottom w:val="none" w:sz="0" w:space="0" w:color="auto"/>
        <w:right w:val="none" w:sz="0" w:space="0" w:color="auto"/>
      </w:divBdr>
    </w:div>
    <w:div w:id="340814403">
      <w:bodyDiv w:val="1"/>
      <w:marLeft w:val="0"/>
      <w:marRight w:val="0"/>
      <w:marTop w:val="0"/>
      <w:marBottom w:val="0"/>
      <w:divBdr>
        <w:top w:val="none" w:sz="0" w:space="0" w:color="auto"/>
        <w:left w:val="none" w:sz="0" w:space="0" w:color="auto"/>
        <w:bottom w:val="none" w:sz="0" w:space="0" w:color="auto"/>
        <w:right w:val="none" w:sz="0" w:space="0" w:color="auto"/>
      </w:divBdr>
    </w:div>
    <w:div w:id="347682703">
      <w:bodyDiv w:val="1"/>
      <w:marLeft w:val="0"/>
      <w:marRight w:val="0"/>
      <w:marTop w:val="0"/>
      <w:marBottom w:val="0"/>
      <w:divBdr>
        <w:top w:val="none" w:sz="0" w:space="0" w:color="auto"/>
        <w:left w:val="none" w:sz="0" w:space="0" w:color="auto"/>
        <w:bottom w:val="none" w:sz="0" w:space="0" w:color="auto"/>
        <w:right w:val="none" w:sz="0" w:space="0" w:color="auto"/>
      </w:divBdr>
    </w:div>
    <w:div w:id="371350193">
      <w:bodyDiv w:val="1"/>
      <w:marLeft w:val="0"/>
      <w:marRight w:val="0"/>
      <w:marTop w:val="0"/>
      <w:marBottom w:val="0"/>
      <w:divBdr>
        <w:top w:val="none" w:sz="0" w:space="0" w:color="auto"/>
        <w:left w:val="none" w:sz="0" w:space="0" w:color="auto"/>
        <w:bottom w:val="none" w:sz="0" w:space="0" w:color="auto"/>
        <w:right w:val="none" w:sz="0" w:space="0" w:color="auto"/>
      </w:divBdr>
    </w:div>
    <w:div w:id="435491112">
      <w:bodyDiv w:val="1"/>
      <w:marLeft w:val="0"/>
      <w:marRight w:val="0"/>
      <w:marTop w:val="0"/>
      <w:marBottom w:val="0"/>
      <w:divBdr>
        <w:top w:val="none" w:sz="0" w:space="0" w:color="auto"/>
        <w:left w:val="none" w:sz="0" w:space="0" w:color="auto"/>
        <w:bottom w:val="none" w:sz="0" w:space="0" w:color="auto"/>
        <w:right w:val="none" w:sz="0" w:space="0" w:color="auto"/>
      </w:divBdr>
    </w:div>
    <w:div w:id="466434382">
      <w:bodyDiv w:val="1"/>
      <w:marLeft w:val="0"/>
      <w:marRight w:val="0"/>
      <w:marTop w:val="0"/>
      <w:marBottom w:val="0"/>
      <w:divBdr>
        <w:top w:val="none" w:sz="0" w:space="0" w:color="auto"/>
        <w:left w:val="none" w:sz="0" w:space="0" w:color="auto"/>
        <w:bottom w:val="none" w:sz="0" w:space="0" w:color="auto"/>
        <w:right w:val="none" w:sz="0" w:space="0" w:color="auto"/>
      </w:divBdr>
    </w:div>
    <w:div w:id="491214994">
      <w:bodyDiv w:val="1"/>
      <w:marLeft w:val="0"/>
      <w:marRight w:val="0"/>
      <w:marTop w:val="0"/>
      <w:marBottom w:val="0"/>
      <w:divBdr>
        <w:top w:val="none" w:sz="0" w:space="0" w:color="auto"/>
        <w:left w:val="none" w:sz="0" w:space="0" w:color="auto"/>
        <w:bottom w:val="none" w:sz="0" w:space="0" w:color="auto"/>
        <w:right w:val="none" w:sz="0" w:space="0" w:color="auto"/>
      </w:divBdr>
    </w:div>
    <w:div w:id="521943496">
      <w:bodyDiv w:val="1"/>
      <w:marLeft w:val="0"/>
      <w:marRight w:val="0"/>
      <w:marTop w:val="0"/>
      <w:marBottom w:val="0"/>
      <w:divBdr>
        <w:top w:val="none" w:sz="0" w:space="0" w:color="auto"/>
        <w:left w:val="none" w:sz="0" w:space="0" w:color="auto"/>
        <w:bottom w:val="none" w:sz="0" w:space="0" w:color="auto"/>
        <w:right w:val="none" w:sz="0" w:space="0" w:color="auto"/>
      </w:divBdr>
    </w:div>
    <w:div w:id="619845985">
      <w:bodyDiv w:val="1"/>
      <w:marLeft w:val="0"/>
      <w:marRight w:val="0"/>
      <w:marTop w:val="0"/>
      <w:marBottom w:val="0"/>
      <w:divBdr>
        <w:top w:val="none" w:sz="0" w:space="0" w:color="auto"/>
        <w:left w:val="none" w:sz="0" w:space="0" w:color="auto"/>
        <w:bottom w:val="none" w:sz="0" w:space="0" w:color="auto"/>
        <w:right w:val="none" w:sz="0" w:space="0" w:color="auto"/>
      </w:divBdr>
    </w:div>
    <w:div w:id="629212876">
      <w:bodyDiv w:val="1"/>
      <w:marLeft w:val="0"/>
      <w:marRight w:val="0"/>
      <w:marTop w:val="0"/>
      <w:marBottom w:val="0"/>
      <w:divBdr>
        <w:top w:val="none" w:sz="0" w:space="0" w:color="auto"/>
        <w:left w:val="none" w:sz="0" w:space="0" w:color="auto"/>
        <w:bottom w:val="none" w:sz="0" w:space="0" w:color="auto"/>
        <w:right w:val="none" w:sz="0" w:space="0" w:color="auto"/>
      </w:divBdr>
    </w:div>
    <w:div w:id="636642435">
      <w:bodyDiv w:val="1"/>
      <w:marLeft w:val="0"/>
      <w:marRight w:val="0"/>
      <w:marTop w:val="0"/>
      <w:marBottom w:val="0"/>
      <w:divBdr>
        <w:top w:val="none" w:sz="0" w:space="0" w:color="auto"/>
        <w:left w:val="none" w:sz="0" w:space="0" w:color="auto"/>
        <w:bottom w:val="none" w:sz="0" w:space="0" w:color="auto"/>
        <w:right w:val="none" w:sz="0" w:space="0" w:color="auto"/>
      </w:divBdr>
    </w:div>
    <w:div w:id="644895530">
      <w:bodyDiv w:val="1"/>
      <w:marLeft w:val="0"/>
      <w:marRight w:val="0"/>
      <w:marTop w:val="0"/>
      <w:marBottom w:val="0"/>
      <w:divBdr>
        <w:top w:val="none" w:sz="0" w:space="0" w:color="auto"/>
        <w:left w:val="none" w:sz="0" w:space="0" w:color="auto"/>
        <w:bottom w:val="none" w:sz="0" w:space="0" w:color="auto"/>
        <w:right w:val="none" w:sz="0" w:space="0" w:color="auto"/>
      </w:divBdr>
    </w:div>
    <w:div w:id="702899271">
      <w:bodyDiv w:val="1"/>
      <w:marLeft w:val="0"/>
      <w:marRight w:val="0"/>
      <w:marTop w:val="0"/>
      <w:marBottom w:val="0"/>
      <w:divBdr>
        <w:top w:val="none" w:sz="0" w:space="0" w:color="auto"/>
        <w:left w:val="none" w:sz="0" w:space="0" w:color="auto"/>
        <w:bottom w:val="none" w:sz="0" w:space="0" w:color="auto"/>
        <w:right w:val="none" w:sz="0" w:space="0" w:color="auto"/>
      </w:divBdr>
    </w:div>
    <w:div w:id="732855693">
      <w:bodyDiv w:val="1"/>
      <w:marLeft w:val="0"/>
      <w:marRight w:val="0"/>
      <w:marTop w:val="0"/>
      <w:marBottom w:val="0"/>
      <w:divBdr>
        <w:top w:val="none" w:sz="0" w:space="0" w:color="auto"/>
        <w:left w:val="none" w:sz="0" w:space="0" w:color="auto"/>
        <w:bottom w:val="none" w:sz="0" w:space="0" w:color="auto"/>
        <w:right w:val="none" w:sz="0" w:space="0" w:color="auto"/>
      </w:divBdr>
    </w:div>
    <w:div w:id="763303321">
      <w:bodyDiv w:val="1"/>
      <w:marLeft w:val="0"/>
      <w:marRight w:val="0"/>
      <w:marTop w:val="0"/>
      <w:marBottom w:val="0"/>
      <w:divBdr>
        <w:top w:val="none" w:sz="0" w:space="0" w:color="auto"/>
        <w:left w:val="none" w:sz="0" w:space="0" w:color="auto"/>
        <w:bottom w:val="none" w:sz="0" w:space="0" w:color="auto"/>
        <w:right w:val="none" w:sz="0" w:space="0" w:color="auto"/>
      </w:divBdr>
    </w:div>
    <w:div w:id="793718075">
      <w:bodyDiv w:val="1"/>
      <w:marLeft w:val="0"/>
      <w:marRight w:val="0"/>
      <w:marTop w:val="0"/>
      <w:marBottom w:val="0"/>
      <w:divBdr>
        <w:top w:val="none" w:sz="0" w:space="0" w:color="auto"/>
        <w:left w:val="none" w:sz="0" w:space="0" w:color="auto"/>
        <w:bottom w:val="none" w:sz="0" w:space="0" w:color="auto"/>
        <w:right w:val="none" w:sz="0" w:space="0" w:color="auto"/>
      </w:divBdr>
    </w:div>
    <w:div w:id="875432616">
      <w:bodyDiv w:val="1"/>
      <w:marLeft w:val="0"/>
      <w:marRight w:val="0"/>
      <w:marTop w:val="0"/>
      <w:marBottom w:val="0"/>
      <w:divBdr>
        <w:top w:val="none" w:sz="0" w:space="0" w:color="auto"/>
        <w:left w:val="none" w:sz="0" w:space="0" w:color="auto"/>
        <w:bottom w:val="none" w:sz="0" w:space="0" w:color="auto"/>
        <w:right w:val="none" w:sz="0" w:space="0" w:color="auto"/>
      </w:divBdr>
    </w:div>
    <w:div w:id="904488127">
      <w:bodyDiv w:val="1"/>
      <w:marLeft w:val="0"/>
      <w:marRight w:val="0"/>
      <w:marTop w:val="0"/>
      <w:marBottom w:val="0"/>
      <w:divBdr>
        <w:top w:val="none" w:sz="0" w:space="0" w:color="auto"/>
        <w:left w:val="none" w:sz="0" w:space="0" w:color="auto"/>
        <w:bottom w:val="none" w:sz="0" w:space="0" w:color="auto"/>
        <w:right w:val="none" w:sz="0" w:space="0" w:color="auto"/>
      </w:divBdr>
    </w:div>
    <w:div w:id="919487822">
      <w:bodyDiv w:val="1"/>
      <w:marLeft w:val="0"/>
      <w:marRight w:val="0"/>
      <w:marTop w:val="0"/>
      <w:marBottom w:val="0"/>
      <w:divBdr>
        <w:top w:val="none" w:sz="0" w:space="0" w:color="auto"/>
        <w:left w:val="none" w:sz="0" w:space="0" w:color="auto"/>
        <w:bottom w:val="none" w:sz="0" w:space="0" w:color="auto"/>
        <w:right w:val="none" w:sz="0" w:space="0" w:color="auto"/>
      </w:divBdr>
    </w:div>
    <w:div w:id="967666465">
      <w:bodyDiv w:val="1"/>
      <w:marLeft w:val="0"/>
      <w:marRight w:val="0"/>
      <w:marTop w:val="0"/>
      <w:marBottom w:val="0"/>
      <w:divBdr>
        <w:top w:val="none" w:sz="0" w:space="0" w:color="auto"/>
        <w:left w:val="none" w:sz="0" w:space="0" w:color="auto"/>
        <w:bottom w:val="none" w:sz="0" w:space="0" w:color="auto"/>
        <w:right w:val="none" w:sz="0" w:space="0" w:color="auto"/>
      </w:divBdr>
    </w:div>
    <w:div w:id="1002469416">
      <w:bodyDiv w:val="1"/>
      <w:marLeft w:val="0"/>
      <w:marRight w:val="0"/>
      <w:marTop w:val="0"/>
      <w:marBottom w:val="0"/>
      <w:divBdr>
        <w:top w:val="none" w:sz="0" w:space="0" w:color="auto"/>
        <w:left w:val="none" w:sz="0" w:space="0" w:color="auto"/>
        <w:bottom w:val="none" w:sz="0" w:space="0" w:color="auto"/>
        <w:right w:val="none" w:sz="0" w:space="0" w:color="auto"/>
      </w:divBdr>
    </w:div>
    <w:div w:id="1044060765">
      <w:bodyDiv w:val="1"/>
      <w:marLeft w:val="0"/>
      <w:marRight w:val="0"/>
      <w:marTop w:val="0"/>
      <w:marBottom w:val="0"/>
      <w:divBdr>
        <w:top w:val="none" w:sz="0" w:space="0" w:color="auto"/>
        <w:left w:val="none" w:sz="0" w:space="0" w:color="auto"/>
        <w:bottom w:val="none" w:sz="0" w:space="0" w:color="auto"/>
        <w:right w:val="none" w:sz="0" w:space="0" w:color="auto"/>
      </w:divBdr>
    </w:div>
    <w:div w:id="1044718086">
      <w:bodyDiv w:val="1"/>
      <w:marLeft w:val="0"/>
      <w:marRight w:val="0"/>
      <w:marTop w:val="0"/>
      <w:marBottom w:val="0"/>
      <w:divBdr>
        <w:top w:val="none" w:sz="0" w:space="0" w:color="auto"/>
        <w:left w:val="none" w:sz="0" w:space="0" w:color="auto"/>
        <w:bottom w:val="none" w:sz="0" w:space="0" w:color="auto"/>
        <w:right w:val="none" w:sz="0" w:space="0" w:color="auto"/>
      </w:divBdr>
    </w:div>
    <w:div w:id="1068381697">
      <w:bodyDiv w:val="1"/>
      <w:marLeft w:val="0"/>
      <w:marRight w:val="0"/>
      <w:marTop w:val="0"/>
      <w:marBottom w:val="0"/>
      <w:divBdr>
        <w:top w:val="none" w:sz="0" w:space="0" w:color="auto"/>
        <w:left w:val="none" w:sz="0" w:space="0" w:color="auto"/>
        <w:bottom w:val="none" w:sz="0" w:space="0" w:color="auto"/>
        <w:right w:val="none" w:sz="0" w:space="0" w:color="auto"/>
      </w:divBdr>
    </w:div>
    <w:div w:id="1132821655">
      <w:bodyDiv w:val="1"/>
      <w:marLeft w:val="0"/>
      <w:marRight w:val="0"/>
      <w:marTop w:val="0"/>
      <w:marBottom w:val="0"/>
      <w:divBdr>
        <w:top w:val="none" w:sz="0" w:space="0" w:color="auto"/>
        <w:left w:val="none" w:sz="0" w:space="0" w:color="auto"/>
        <w:bottom w:val="none" w:sz="0" w:space="0" w:color="auto"/>
        <w:right w:val="none" w:sz="0" w:space="0" w:color="auto"/>
      </w:divBdr>
    </w:div>
    <w:div w:id="1154375183">
      <w:bodyDiv w:val="1"/>
      <w:marLeft w:val="0"/>
      <w:marRight w:val="0"/>
      <w:marTop w:val="0"/>
      <w:marBottom w:val="0"/>
      <w:divBdr>
        <w:top w:val="none" w:sz="0" w:space="0" w:color="auto"/>
        <w:left w:val="none" w:sz="0" w:space="0" w:color="auto"/>
        <w:bottom w:val="none" w:sz="0" w:space="0" w:color="auto"/>
        <w:right w:val="none" w:sz="0" w:space="0" w:color="auto"/>
      </w:divBdr>
    </w:div>
    <w:div w:id="1199665498">
      <w:bodyDiv w:val="1"/>
      <w:marLeft w:val="0"/>
      <w:marRight w:val="0"/>
      <w:marTop w:val="0"/>
      <w:marBottom w:val="0"/>
      <w:divBdr>
        <w:top w:val="none" w:sz="0" w:space="0" w:color="auto"/>
        <w:left w:val="none" w:sz="0" w:space="0" w:color="auto"/>
        <w:bottom w:val="none" w:sz="0" w:space="0" w:color="auto"/>
        <w:right w:val="none" w:sz="0" w:space="0" w:color="auto"/>
      </w:divBdr>
    </w:div>
    <w:div w:id="1234504984">
      <w:bodyDiv w:val="1"/>
      <w:marLeft w:val="0"/>
      <w:marRight w:val="0"/>
      <w:marTop w:val="0"/>
      <w:marBottom w:val="0"/>
      <w:divBdr>
        <w:top w:val="none" w:sz="0" w:space="0" w:color="auto"/>
        <w:left w:val="none" w:sz="0" w:space="0" w:color="auto"/>
        <w:bottom w:val="none" w:sz="0" w:space="0" w:color="auto"/>
        <w:right w:val="none" w:sz="0" w:space="0" w:color="auto"/>
      </w:divBdr>
    </w:div>
    <w:div w:id="1284113408">
      <w:bodyDiv w:val="1"/>
      <w:marLeft w:val="0"/>
      <w:marRight w:val="0"/>
      <w:marTop w:val="0"/>
      <w:marBottom w:val="0"/>
      <w:divBdr>
        <w:top w:val="none" w:sz="0" w:space="0" w:color="auto"/>
        <w:left w:val="none" w:sz="0" w:space="0" w:color="auto"/>
        <w:bottom w:val="none" w:sz="0" w:space="0" w:color="auto"/>
        <w:right w:val="none" w:sz="0" w:space="0" w:color="auto"/>
      </w:divBdr>
    </w:div>
    <w:div w:id="1318026587">
      <w:bodyDiv w:val="1"/>
      <w:marLeft w:val="0"/>
      <w:marRight w:val="0"/>
      <w:marTop w:val="0"/>
      <w:marBottom w:val="0"/>
      <w:divBdr>
        <w:top w:val="none" w:sz="0" w:space="0" w:color="auto"/>
        <w:left w:val="none" w:sz="0" w:space="0" w:color="auto"/>
        <w:bottom w:val="none" w:sz="0" w:space="0" w:color="auto"/>
        <w:right w:val="none" w:sz="0" w:space="0" w:color="auto"/>
      </w:divBdr>
    </w:div>
    <w:div w:id="1333794060">
      <w:bodyDiv w:val="1"/>
      <w:marLeft w:val="0"/>
      <w:marRight w:val="0"/>
      <w:marTop w:val="0"/>
      <w:marBottom w:val="0"/>
      <w:divBdr>
        <w:top w:val="none" w:sz="0" w:space="0" w:color="auto"/>
        <w:left w:val="none" w:sz="0" w:space="0" w:color="auto"/>
        <w:bottom w:val="none" w:sz="0" w:space="0" w:color="auto"/>
        <w:right w:val="none" w:sz="0" w:space="0" w:color="auto"/>
      </w:divBdr>
    </w:div>
    <w:div w:id="1391533818">
      <w:bodyDiv w:val="1"/>
      <w:marLeft w:val="0"/>
      <w:marRight w:val="0"/>
      <w:marTop w:val="0"/>
      <w:marBottom w:val="0"/>
      <w:divBdr>
        <w:top w:val="none" w:sz="0" w:space="0" w:color="auto"/>
        <w:left w:val="none" w:sz="0" w:space="0" w:color="auto"/>
        <w:bottom w:val="none" w:sz="0" w:space="0" w:color="auto"/>
        <w:right w:val="none" w:sz="0" w:space="0" w:color="auto"/>
      </w:divBdr>
    </w:div>
    <w:div w:id="1393843100">
      <w:bodyDiv w:val="1"/>
      <w:marLeft w:val="0"/>
      <w:marRight w:val="0"/>
      <w:marTop w:val="0"/>
      <w:marBottom w:val="0"/>
      <w:divBdr>
        <w:top w:val="none" w:sz="0" w:space="0" w:color="auto"/>
        <w:left w:val="none" w:sz="0" w:space="0" w:color="auto"/>
        <w:bottom w:val="none" w:sz="0" w:space="0" w:color="auto"/>
        <w:right w:val="none" w:sz="0" w:space="0" w:color="auto"/>
      </w:divBdr>
    </w:div>
    <w:div w:id="1412313154">
      <w:bodyDiv w:val="1"/>
      <w:marLeft w:val="0"/>
      <w:marRight w:val="0"/>
      <w:marTop w:val="0"/>
      <w:marBottom w:val="0"/>
      <w:divBdr>
        <w:top w:val="none" w:sz="0" w:space="0" w:color="auto"/>
        <w:left w:val="none" w:sz="0" w:space="0" w:color="auto"/>
        <w:bottom w:val="none" w:sz="0" w:space="0" w:color="auto"/>
        <w:right w:val="none" w:sz="0" w:space="0" w:color="auto"/>
      </w:divBdr>
    </w:div>
    <w:div w:id="1442382215">
      <w:bodyDiv w:val="1"/>
      <w:marLeft w:val="0"/>
      <w:marRight w:val="0"/>
      <w:marTop w:val="0"/>
      <w:marBottom w:val="0"/>
      <w:divBdr>
        <w:top w:val="none" w:sz="0" w:space="0" w:color="auto"/>
        <w:left w:val="none" w:sz="0" w:space="0" w:color="auto"/>
        <w:bottom w:val="none" w:sz="0" w:space="0" w:color="auto"/>
        <w:right w:val="none" w:sz="0" w:space="0" w:color="auto"/>
      </w:divBdr>
    </w:div>
    <w:div w:id="1585338652">
      <w:bodyDiv w:val="1"/>
      <w:marLeft w:val="0"/>
      <w:marRight w:val="0"/>
      <w:marTop w:val="0"/>
      <w:marBottom w:val="0"/>
      <w:divBdr>
        <w:top w:val="none" w:sz="0" w:space="0" w:color="auto"/>
        <w:left w:val="none" w:sz="0" w:space="0" w:color="auto"/>
        <w:bottom w:val="none" w:sz="0" w:space="0" w:color="auto"/>
        <w:right w:val="none" w:sz="0" w:space="0" w:color="auto"/>
      </w:divBdr>
    </w:div>
    <w:div w:id="1645619453">
      <w:bodyDiv w:val="1"/>
      <w:marLeft w:val="0"/>
      <w:marRight w:val="0"/>
      <w:marTop w:val="0"/>
      <w:marBottom w:val="0"/>
      <w:divBdr>
        <w:top w:val="none" w:sz="0" w:space="0" w:color="auto"/>
        <w:left w:val="none" w:sz="0" w:space="0" w:color="auto"/>
        <w:bottom w:val="none" w:sz="0" w:space="0" w:color="auto"/>
        <w:right w:val="none" w:sz="0" w:space="0" w:color="auto"/>
      </w:divBdr>
    </w:div>
    <w:div w:id="1649747449">
      <w:bodyDiv w:val="1"/>
      <w:marLeft w:val="0"/>
      <w:marRight w:val="0"/>
      <w:marTop w:val="0"/>
      <w:marBottom w:val="0"/>
      <w:divBdr>
        <w:top w:val="none" w:sz="0" w:space="0" w:color="auto"/>
        <w:left w:val="none" w:sz="0" w:space="0" w:color="auto"/>
        <w:bottom w:val="none" w:sz="0" w:space="0" w:color="auto"/>
        <w:right w:val="none" w:sz="0" w:space="0" w:color="auto"/>
      </w:divBdr>
    </w:div>
    <w:div w:id="1654406503">
      <w:bodyDiv w:val="1"/>
      <w:marLeft w:val="0"/>
      <w:marRight w:val="0"/>
      <w:marTop w:val="0"/>
      <w:marBottom w:val="0"/>
      <w:divBdr>
        <w:top w:val="none" w:sz="0" w:space="0" w:color="auto"/>
        <w:left w:val="none" w:sz="0" w:space="0" w:color="auto"/>
        <w:bottom w:val="none" w:sz="0" w:space="0" w:color="auto"/>
        <w:right w:val="none" w:sz="0" w:space="0" w:color="auto"/>
      </w:divBdr>
    </w:div>
    <w:div w:id="1693417175">
      <w:bodyDiv w:val="1"/>
      <w:marLeft w:val="0"/>
      <w:marRight w:val="0"/>
      <w:marTop w:val="0"/>
      <w:marBottom w:val="0"/>
      <w:divBdr>
        <w:top w:val="none" w:sz="0" w:space="0" w:color="auto"/>
        <w:left w:val="none" w:sz="0" w:space="0" w:color="auto"/>
        <w:bottom w:val="none" w:sz="0" w:space="0" w:color="auto"/>
        <w:right w:val="none" w:sz="0" w:space="0" w:color="auto"/>
      </w:divBdr>
    </w:div>
    <w:div w:id="1712412638">
      <w:bodyDiv w:val="1"/>
      <w:marLeft w:val="0"/>
      <w:marRight w:val="0"/>
      <w:marTop w:val="0"/>
      <w:marBottom w:val="0"/>
      <w:divBdr>
        <w:top w:val="none" w:sz="0" w:space="0" w:color="auto"/>
        <w:left w:val="none" w:sz="0" w:space="0" w:color="auto"/>
        <w:bottom w:val="none" w:sz="0" w:space="0" w:color="auto"/>
        <w:right w:val="none" w:sz="0" w:space="0" w:color="auto"/>
      </w:divBdr>
    </w:div>
    <w:div w:id="1714962830">
      <w:bodyDiv w:val="1"/>
      <w:marLeft w:val="0"/>
      <w:marRight w:val="0"/>
      <w:marTop w:val="0"/>
      <w:marBottom w:val="0"/>
      <w:divBdr>
        <w:top w:val="none" w:sz="0" w:space="0" w:color="auto"/>
        <w:left w:val="none" w:sz="0" w:space="0" w:color="auto"/>
        <w:bottom w:val="none" w:sz="0" w:space="0" w:color="auto"/>
        <w:right w:val="none" w:sz="0" w:space="0" w:color="auto"/>
      </w:divBdr>
    </w:div>
    <w:div w:id="1791821171">
      <w:bodyDiv w:val="1"/>
      <w:marLeft w:val="0"/>
      <w:marRight w:val="0"/>
      <w:marTop w:val="0"/>
      <w:marBottom w:val="0"/>
      <w:divBdr>
        <w:top w:val="none" w:sz="0" w:space="0" w:color="auto"/>
        <w:left w:val="none" w:sz="0" w:space="0" w:color="auto"/>
        <w:bottom w:val="none" w:sz="0" w:space="0" w:color="auto"/>
        <w:right w:val="none" w:sz="0" w:space="0" w:color="auto"/>
      </w:divBdr>
    </w:div>
    <w:div w:id="1827277535">
      <w:bodyDiv w:val="1"/>
      <w:marLeft w:val="0"/>
      <w:marRight w:val="0"/>
      <w:marTop w:val="0"/>
      <w:marBottom w:val="0"/>
      <w:divBdr>
        <w:top w:val="none" w:sz="0" w:space="0" w:color="auto"/>
        <w:left w:val="none" w:sz="0" w:space="0" w:color="auto"/>
        <w:bottom w:val="none" w:sz="0" w:space="0" w:color="auto"/>
        <w:right w:val="none" w:sz="0" w:space="0" w:color="auto"/>
      </w:divBdr>
    </w:div>
    <w:div w:id="1832331946">
      <w:bodyDiv w:val="1"/>
      <w:marLeft w:val="0"/>
      <w:marRight w:val="0"/>
      <w:marTop w:val="0"/>
      <w:marBottom w:val="0"/>
      <w:divBdr>
        <w:top w:val="none" w:sz="0" w:space="0" w:color="auto"/>
        <w:left w:val="none" w:sz="0" w:space="0" w:color="auto"/>
        <w:bottom w:val="none" w:sz="0" w:space="0" w:color="auto"/>
        <w:right w:val="none" w:sz="0" w:space="0" w:color="auto"/>
      </w:divBdr>
    </w:div>
    <w:div w:id="1916814975">
      <w:bodyDiv w:val="1"/>
      <w:marLeft w:val="0"/>
      <w:marRight w:val="0"/>
      <w:marTop w:val="0"/>
      <w:marBottom w:val="0"/>
      <w:divBdr>
        <w:top w:val="none" w:sz="0" w:space="0" w:color="auto"/>
        <w:left w:val="none" w:sz="0" w:space="0" w:color="auto"/>
        <w:bottom w:val="none" w:sz="0" w:space="0" w:color="auto"/>
        <w:right w:val="none" w:sz="0" w:space="0" w:color="auto"/>
      </w:divBdr>
    </w:div>
    <w:div w:id="1931575181">
      <w:bodyDiv w:val="1"/>
      <w:marLeft w:val="0"/>
      <w:marRight w:val="0"/>
      <w:marTop w:val="0"/>
      <w:marBottom w:val="0"/>
      <w:divBdr>
        <w:top w:val="none" w:sz="0" w:space="0" w:color="auto"/>
        <w:left w:val="none" w:sz="0" w:space="0" w:color="auto"/>
        <w:bottom w:val="none" w:sz="0" w:space="0" w:color="auto"/>
        <w:right w:val="none" w:sz="0" w:space="0" w:color="auto"/>
      </w:divBdr>
    </w:div>
    <w:div w:id="1999772538">
      <w:bodyDiv w:val="1"/>
      <w:marLeft w:val="0"/>
      <w:marRight w:val="0"/>
      <w:marTop w:val="0"/>
      <w:marBottom w:val="0"/>
      <w:divBdr>
        <w:top w:val="none" w:sz="0" w:space="0" w:color="auto"/>
        <w:left w:val="none" w:sz="0" w:space="0" w:color="auto"/>
        <w:bottom w:val="none" w:sz="0" w:space="0" w:color="auto"/>
        <w:right w:val="none" w:sz="0" w:space="0" w:color="auto"/>
      </w:divBdr>
    </w:div>
    <w:div w:id="2100246733">
      <w:bodyDiv w:val="1"/>
      <w:marLeft w:val="0"/>
      <w:marRight w:val="0"/>
      <w:marTop w:val="0"/>
      <w:marBottom w:val="0"/>
      <w:divBdr>
        <w:top w:val="none" w:sz="0" w:space="0" w:color="auto"/>
        <w:left w:val="none" w:sz="0" w:space="0" w:color="auto"/>
        <w:bottom w:val="none" w:sz="0" w:space="0" w:color="auto"/>
        <w:right w:val="none" w:sz="0" w:space="0" w:color="auto"/>
      </w:divBdr>
    </w:div>
    <w:div w:id="2102338843">
      <w:bodyDiv w:val="1"/>
      <w:marLeft w:val="0"/>
      <w:marRight w:val="0"/>
      <w:marTop w:val="0"/>
      <w:marBottom w:val="0"/>
      <w:divBdr>
        <w:top w:val="none" w:sz="0" w:space="0" w:color="auto"/>
        <w:left w:val="none" w:sz="0" w:space="0" w:color="auto"/>
        <w:bottom w:val="none" w:sz="0" w:space="0" w:color="auto"/>
        <w:right w:val="none" w:sz="0" w:space="0" w:color="auto"/>
      </w:divBdr>
    </w:div>
    <w:div w:id="2108691341">
      <w:bodyDiv w:val="1"/>
      <w:marLeft w:val="0"/>
      <w:marRight w:val="0"/>
      <w:marTop w:val="0"/>
      <w:marBottom w:val="0"/>
      <w:divBdr>
        <w:top w:val="none" w:sz="0" w:space="0" w:color="auto"/>
        <w:left w:val="none" w:sz="0" w:space="0" w:color="auto"/>
        <w:bottom w:val="none" w:sz="0" w:space="0" w:color="auto"/>
        <w:right w:val="none" w:sz="0" w:space="0" w:color="auto"/>
      </w:divBdr>
    </w:div>
    <w:div w:id="211663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a801-sbscssp.nyc.gov/CitizenAcces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1.nyc.gov/site/mocs/mwbe/reports.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88154-8C83-4240-8EB9-CE42CA14C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4493</Words>
  <Characters>25615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NYC Department of Small Business Services</Company>
  <LinksUpToDate>false</LinksUpToDate>
  <CharactersWithSpaces>30048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Olds</dc:creator>
  <cp:lastModifiedBy>NYCSBS</cp:lastModifiedBy>
  <cp:revision>3</cp:revision>
  <cp:lastPrinted>2016-12-19T20:53:00Z</cp:lastPrinted>
  <dcterms:created xsi:type="dcterms:W3CDTF">2017-06-28T15:12:00Z</dcterms:created>
  <dcterms:modified xsi:type="dcterms:W3CDTF">2017-06-28T15:33:00Z</dcterms:modified>
</cp:coreProperties>
</file>