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12BE" w14:textId="5EFF71A7" w:rsidR="48DEE0CB" w:rsidRDefault="48DEE0CB" w:rsidP="675E1D27">
      <w:pPr>
        <w:jc w:val="center"/>
        <w:outlineLvl w:val="0"/>
        <w:rPr>
          <w:rFonts w:ascii="Arial" w:hAnsi="Arial" w:cs="Arial"/>
          <w:b/>
          <w:bCs/>
          <w:noProof/>
          <w:sz w:val="20"/>
          <w:szCs w:val="20"/>
        </w:rPr>
      </w:pPr>
      <w:r w:rsidRPr="675E1D27">
        <w:rPr>
          <w:rFonts w:ascii="Arial" w:hAnsi="Arial" w:cs="Arial"/>
          <w:b/>
          <w:bCs/>
          <w:noProof/>
          <w:sz w:val="20"/>
          <w:szCs w:val="20"/>
        </w:rPr>
        <w:t>APPENDIX A</w:t>
      </w:r>
    </w:p>
    <w:p w14:paraId="258115D9" w14:textId="44B982A8" w:rsidR="00822439" w:rsidRPr="007F26D1" w:rsidRDefault="00ED3C11" w:rsidP="675E1D27">
      <w:pPr>
        <w:jc w:val="center"/>
        <w:outlineLvl w:val="0"/>
        <w:rPr>
          <w:rFonts w:ascii="Arial" w:hAnsi="Arial" w:cs="Arial"/>
          <w:b/>
          <w:bCs/>
          <w:noProof/>
          <w:sz w:val="20"/>
          <w:szCs w:val="20"/>
        </w:rPr>
      </w:pPr>
      <w:r w:rsidRPr="675E1D27">
        <w:rPr>
          <w:rFonts w:ascii="Arial" w:hAnsi="Arial" w:cs="Arial"/>
          <w:b/>
          <w:bCs/>
          <w:noProof/>
          <w:sz w:val="20"/>
          <w:szCs w:val="20"/>
        </w:rPr>
        <w:t>Mixed</w:t>
      </w:r>
      <w:r w:rsidR="00814F1A" w:rsidRPr="675E1D27">
        <w:rPr>
          <w:rFonts w:ascii="Arial" w:hAnsi="Arial" w:cs="Arial"/>
          <w:b/>
          <w:bCs/>
          <w:noProof/>
          <w:sz w:val="20"/>
          <w:szCs w:val="20"/>
        </w:rPr>
        <w:t xml:space="preserve"> </w:t>
      </w:r>
      <w:r w:rsidR="001B389A" w:rsidRPr="675E1D27">
        <w:rPr>
          <w:rFonts w:ascii="Arial" w:hAnsi="Arial" w:cs="Arial"/>
          <w:b/>
          <w:bCs/>
          <w:noProof/>
          <w:sz w:val="20"/>
          <w:szCs w:val="20"/>
        </w:rPr>
        <w:t>Income</w:t>
      </w:r>
      <w:r w:rsidR="00A0107C" w:rsidRPr="675E1D27">
        <w:rPr>
          <w:rFonts w:ascii="Arial" w:hAnsi="Arial" w:cs="Arial"/>
          <w:b/>
          <w:bCs/>
          <w:noProof/>
          <w:sz w:val="20"/>
          <w:szCs w:val="20"/>
        </w:rPr>
        <w:t>/</w:t>
      </w:r>
      <w:r w:rsidR="00DC6727" w:rsidRPr="675E1D27">
        <w:rPr>
          <w:rFonts w:ascii="Arial" w:hAnsi="Arial" w:cs="Arial"/>
          <w:b/>
          <w:bCs/>
          <w:noProof/>
          <w:sz w:val="20"/>
          <w:szCs w:val="20"/>
        </w:rPr>
        <w:t>Market</w:t>
      </w:r>
      <w:r w:rsidR="001B389A" w:rsidRPr="675E1D27">
        <w:rPr>
          <w:rFonts w:ascii="Arial" w:hAnsi="Arial" w:cs="Arial"/>
          <w:b/>
          <w:bCs/>
          <w:noProof/>
          <w:sz w:val="20"/>
          <w:szCs w:val="20"/>
        </w:rPr>
        <w:t xml:space="preserve"> Initiative </w:t>
      </w:r>
      <w:r w:rsidR="008A1280" w:rsidRPr="675E1D27">
        <w:rPr>
          <w:rFonts w:ascii="Arial" w:hAnsi="Arial" w:cs="Arial"/>
          <w:b/>
          <w:bCs/>
          <w:noProof/>
          <w:sz w:val="20"/>
          <w:szCs w:val="20"/>
        </w:rPr>
        <w:t>“</w:t>
      </w:r>
      <w:r w:rsidR="00814F1A" w:rsidRPr="675E1D27">
        <w:rPr>
          <w:rFonts w:ascii="Arial" w:hAnsi="Arial" w:cs="Arial"/>
          <w:b/>
          <w:bCs/>
          <w:noProof/>
          <w:sz w:val="20"/>
          <w:szCs w:val="20"/>
        </w:rPr>
        <w:t>M</w:t>
      </w:r>
      <w:r w:rsidR="001B389A" w:rsidRPr="675E1D27">
        <w:rPr>
          <w:rFonts w:ascii="Arial" w:hAnsi="Arial" w:cs="Arial"/>
          <w:b/>
          <w:bCs/>
          <w:noProof/>
          <w:sz w:val="20"/>
          <w:szCs w:val="20"/>
        </w:rPr>
        <w:t>IMI</w:t>
      </w:r>
      <w:r w:rsidR="008A1280" w:rsidRPr="675E1D27">
        <w:rPr>
          <w:rFonts w:ascii="Arial" w:hAnsi="Arial" w:cs="Arial"/>
          <w:b/>
          <w:bCs/>
          <w:noProof/>
          <w:sz w:val="20"/>
          <w:szCs w:val="20"/>
        </w:rPr>
        <w:t>”:</w:t>
      </w:r>
      <w:r w:rsidR="00CD19F4" w:rsidRPr="675E1D27">
        <w:rPr>
          <w:rFonts w:ascii="Arial" w:hAnsi="Arial" w:cs="Arial"/>
          <w:b/>
          <w:bCs/>
          <w:noProof/>
          <w:sz w:val="20"/>
          <w:szCs w:val="20"/>
        </w:rPr>
        <w:t xml:space="preserve"> </w:t>
      </w:r>
      <w:r w:rsidR="005E7324" w:rsidRPr="675E1D27">
        <w:rPr>
          <w:rFonts w:ascii="Arial" w:hAnsi="Arial" w:cs="Arial"/>
          <w:b/>
          <w:bCs/>
          <w:noProof/>
          <w:sz w:val="20"/>
          <w:szCs w:val="20"/>
        </w:rPr>
        <w:t>Program Summary</w:t>
      </w:r>
    </w:p>
    <w:p w14:paraId="642FEE49" w14:textId="77777777" w:rsidR="003C436E" w:rsidRPr="007F26D1" w:rsidRDefault="003C436E" w:rsidP="00FD4334">
      <w:pPr>
        <w:jc w:val="center"/>
        <w:outlineLvl w:val="0"/>
        <w:rPr>
          <w:rFonts w:ascii="Arial" w:hAnsi="Arial" w:cs="Arial"/>
          <w:b/>
          <w:noProof/>
          <w:sz w:val="20"/>
          <w:szCs w:val="20"/>
        </w:rPr>
      </w:pPr>
    </w:p>
    <w:p w14:paraId="1DD5592A" w14:textId="77777777" w:rsidR="00CA60CE" w:rsidRPr="007F26D1" w:rsidRDefault="00CA60CE" w:rsidP="00DA464C">
      <w:pPr>
        <w:rPr>
          <w:rFonts w:ascii="Arial" w:hAnsi="Arial" w:cs="Arial"/>
          <w:sz w:val="20"/>
          <w:szCs w:val="20"/>
        </w:rPr>
      </w:pPr>
    </w:p>
    <w:tbl>
      <w:tblPr>
        <w:tblW w:w="10620" w:type="dxa"/>
        <w:tblInd w:w="18" w:type="dxa"/>
        <w:tblBorders>
          <w:insideH w:val="dotted" w:sz="4" w:space="0" w:color="auto"/>
          <w:insideV w:val="single" w:sz="8" w:space="0" w:color="auto"/>
        </w:tblBorders>
        <w:tblLayout w:type="fixed"/>
        <w:tblLook w:val="01E0" w:firstRow="1" w:lastRow="1" w:firstColumn="1" w:lastColumn="1" w:noHBand="0" w:noVBand="0"/>
      </w:tblPr>
      <w:tblGrid>
        <w:gridCol w:w="1602"/>
        <w:gridCol w:w="9000"/>
        <w:gridCol w:w="18"/>
      </w:tblGrid>
      <w:tr w:rsidR="00FD4334" w:rsidRPr="007F26D1" w14:paraId="4FD1FECB" w14:textId="77777777" w:rsidTr="34030362">
        <w:trPr>
          <w:trHeight w:val="899"/>
        </w:trPr>
        <w:tc>
          <w:tcPr>
            <w:tcW w:w="1602" w:type="dxa"/>
          </w:tcPr>
          <w:p w14:paraId="2BE0ACF7" w14:textId="77777777" w:rsidR="00FD4334" w:rsidRPr="007F26D1" w:rsidRDefault="00FD4334">
            <w:pPr>
              <w:rPr>
                <w:rFonts w:ascii="Arial" w:hAnsi="Arial" w:cs="Arial"/>
                <w:b/>
                <w:sz w:val="20"/>
                <w:szCs w:val="20"/>
              </w:rPr>
            </w:pPr>
            <w:r w:rsidRPr="007F26D1">
              <w:rPr>
                <w:rFonts w:ascii="Arial" w:hAnsi="Arial" w:cs="Arial"/>
                <w:b/>
                <w:sz w:val="20"/>
                <w:szCs w:val="20"/>
              </w:rPr>
              <w:t>Program Description</w:t>
            </w:r>
          </w:p>
        </w:tc>
        <w:tc>
          <w:tcPr>
            <w:tcW w:w="9018" w:type="dxa"/>
            <w:gridSpan w:val="2"/>
          </w:tcPr>
          <w:p w14:paraId="65583EBE" w14:textId="4AAB3AE6" w:rsidR="00FD4334" w:rsidRPr="007F26D1" w:rsidRDefault="4C12E8A9">
            <w:pPr>
              <w:pStyle w:val="BodyText3"/>
              <w:spacing w:after="0"/>
              <w:jc w:val="both"/>
              <w:rPr>
                <w:rFonts w:ascii="Arial" w:hAnsi="Arial" w:cs="Arial"/>
                <w:spacing w:val="-3"/>
                <w:sz w:val="20"/>
                <w:szCs w:val="20"/>
              </w:rPr>
            </w:pPr>
            <w:r w:rsidRPr="007F26D1">
              <w:rPr>
                <w:rFonts w:ascii="Arial" w:hAnsi="Arial" w:cs="Arial"/>
                <w:spacing w:val="-3"/>
                <w:sz w:val="20"/>
                <w:szCs w:val="20"/>
              </w:rPr>
              <w:t>The</w:t>
            </w:r>
            <w:r w:rsidR="002728E1">
              <w:rPr>
                <w:rFonts w:ascii="Arial" w:hAnsi="Arial" w:cs="Arial"/>
                <w:spacing w:val="-3"/>
                <w:sz w:val="20"/>
                <w:szCs w:val="20"/>
              </w:rPr>
              <w:t xml:space="preserve">se are the draft </w:t>
            </w:r>
            <w:r w:rsidR="007D41EF">
              <w:rPr>
                <w:rFonts w:ascii="Arial" w:hAnsi="Arial" w:cs="Arial"/>
                <w:spacing w:val="-3"/>
                <w:sz w:val="20"/>
                <w:szCs w:val="20"/>
              </w:rPr>
              <w:t xml:space="preserve">program terms </w:t>
            </w:r>
            <w:r w:rsidR="00D44214">
              <w:rPr>
                <w:rFonts w:ascii="Arial" w:hAnsi="Arial" w:cs="Arial"/>
                <w:spacing w:val="-3"/>
                <w:sz w:val="20"/>
                <w:szCs w:val="20"/>
              </w:rPr>
              <w:t>for</w:t>
            </w:r>
            <w:r w:rsidR="007D41EF">
              <w:rPr>
                <w:rFonts w:ascii="Arial" w:hAnsi="Arial" w:cs="Arial"/>
                <w:spacing w:val="-3"/>
                <w:sz w:val="20"/>
                <w:szCs w:val="20"/>
              </w:rPr>
              <w:t xml:space="preserve"> the </w:t>
            </w:r>
            <w:r w:rsidR="00BF13DC">
              <w:rPr>
                <w:rFonts w:ascii="Arial" w:hAnsi="Arial" w:cs="Arial"/>
                <w:spacing w:val="-3"/>
                <w:sz w:val="20"/>
                <w:szCs w:val="20"/>
              </w:rPr>
              <w:t>Request for Expressions of Interest</w:t>
            </w:r>
            <w:r w:rsidRPr="007F26D1">
              <w:rPr>
                <w:rFonts w:ascii="Arial" w:hAnsi="Arial" w:cs="Arial"/>
                <w:spacing w:val="-3"/>
                <w:sz w:val="20"/>
                <w:szCs w:val="20"/>
              </w:rPr>
              <w:t xml:space="preserve"> (“</w:t>
            </w:r>
            <w:r w:rsidR="00BF13DC">
              <w:rPr>
                <w:rFonts w:ascii="Arial" w:hAnsi="Arial" w:cs="Arial"/>
                <w:spacing w:val="-3"/>
                <w:sz w:val="20"/>
                <w:szCs w:val="20"/>
              </w:rPr>
              <w:t>RFEI</w:t>
            </w:r>
            <w:r w:rsidRPr="007F26D1">
              <w:rPr>
                <w:rFonts w:ascii="Arial" w:hAnsi="Arial" w:cs="Arial"/>
                <w:spacing w:val="-3"/>
                <w:sz w:val="20"/>
                <w:szCs w:val="20"/>
              </w:rPr>
              <w:t>”) for the</w:t>
            </w:r>
            <w:r w:rsidR="004E2645" w:rsidRPr="007F26D1">
              <w:rPr>
                <w:rFonts w:ascii="Arial" w:hAnsi="Arial" w:cs="Arial"/>
                <w:spacing w:val="-3"/>
                <w:sz w:val="20"/>
                <w:szCs w:val="20"/>
              </w:rPr>
              <w:t xml:space="preserve"> new</w:t>
            </w:r>
            <w:r w:rsidRPr="007F26D1">
              <w:rPr>
                <w:rFonts w:ascii="Arial" w:hAnsi="Arial" w:cs="Arial"/>
                <w:spacing w:val="-3"/>
                <w:sz w:val="20"/>
                <w:szCs w:val="20"/>
              </w:rPr>
              <w:t xml:space="preserve"> </w:t>
            </w:r>
            <w:r w:rsidR="00DC6727" w:rsidRPr="00DC6727">
              <w:rPr>
                <w:rFonts w:ascii="Arial" w:hAnsi="Arial" w:cs="Arial"/>
                <w:spacing w:val="-3"/>
                <w:sz w:val="20"/>
                <w:szCs w:val="20"/>
              </w:rPr>
              <w:t xml:space="preserve">Mixed </w:t>
            </w:r>
            <w:r w:rsidR="001B389A">
              <w:rPr>
                <w:rFonts w:ascii="Arial" w:hAnsi="Arial" w:cs="Arial"/>
                <w:spacing w:val="-3"/>
                <w:sz w:val="20"/>
                <w:szCs w:val="20"/>
              </w:rPr>
              <w:t>Income Market Initiative</w:t>
            </w:r>
            <w:r w:rsidRPr="00DC6727">
              <w:rPr>
                <w:rFonts w:ascii="Arial" w:hAnsi="Arial" w:cs="Arial"/>
                <w:spacing w:val="-3"/>
                <w:sz w:val="20"/>
                <w:szCs w:val="20"/>
              </w:rPr>
              <w:t xml:space="preserve"> (“</w:t>
            </w:r>
            <w:r w:rsidR="00DC6727" w:rsidRPr="00DC6727">
              <w:rPr>
                <w:rFonts w:ascii="Arial" w:hAnsi="Arial" w:cs="Arial"/>
                <w:spacing w:val="-3"/>
                <w:sz w:val="20"/>
                <w:szCs w:val="20"/>
              </w:rPr>
              <w:t>M</w:t>
            </w:r>
            <w:r w:rsidR="001B389A">
              <w:rPr>
                <w:rFonts w:ascii="Arial" w:hAnsi="Arial" w:cs="Arial"/>
                <w:spacing w:val="-3"/>
                <w:sz w:val="20"/>
                <w:szCs w:val="20"/>
              </w:rPr>
              <w:t>IMI</w:t>
            </w:r>
            <w:r w:rsidRPr="00DC6727">
              <w:rPr>
                <w:rFonts w:ascii="Arial" w:hAnsi="Arial" w:cs="Arial"/>
                <w:spacing w:val="-3"/>
                <w:sz w:val="20"/>
                <w:szCs w:val="20"/>
              </w:rPr>
              <w:t>”)</w:t>
            </w:r>
            <w:r w:rsidRPr="007F26D1">
              <w:rPr>
                <w:rFonts w:ascii="Arial" w:hAnsi="Arial" w:cs="Arial"/>
                <w:spacing w:val="-3"/>
                <w:sz w:val="20"/>
                <w:szCs w:val="20"/>
              </w:rPr>
              <w:t xml:space="preserve">, which </w:t>
            </w:r>
            <w:r w:rsidR="009D5A30">
              <w:rPr>
                <w:rFonts w:ascii="Arial" w:hAnsi="Arial" w:cs="Arial"/>
                <w:spacing w:val="-3"/>
                <w:sz w:val="20"/>
                <w:szCs w:val="20"/>
              </w:rPr>
              <w:t>aims to</w:t>
            </w:r>
            <w:r w:rsidRPr="007F26D1">
              <w:rPr>
                <w:rFonts w:ascii="Arial" w:hAnsi="Arial" w:cs="Arial"/>
                <w:spacing w:val="-3"/>
                <w:sz w:val="20"/>
                <w:szCs w:val="20"/>
              </w:rPr>
              <w:t xml:space="preserve"> fund the new construction of mixed income, multi-family rental projects in which 70% of the units are restricted at rents affordable to households earning up to 120% of Area Median Income (AMI) and the other 30% of units are market rate.</w:t>
            </w:r>
            <w:r w:rsidR="00D44214">
              <w:rPr>
                <w:rFonts w:ascii="Arial" w:hAnsi="Arial" w:cs="Arial"/>
                <w:spacing w:val="-3"/>
                <w:sz w:val="20"/>
                <w:szCs w:val="20"/>
              </w:rPr>
              <w:t xml:space="preserve"> </w:t>
            </w:r>
            <w:r w:rsidRPr="007F26D1">
              <w:rPr>
                <w:rFonts w:ascii="Arial" w:hAnsi="Arial" w:cs="Arial"/>
                <w:spacing w:val="-3"/>
                <w:sz w:val="20"/>
                <w:szCs w:val="20"/>
              </w:rPr>
              <w:t xml:space="preserve">  </w:t>
            </w:r>
          </w:p>
          <w:p w14:paraId="056BF603" w14:textId="77777777" w:rsidR="00FD4334" w:rsidRPr="007F26D1" w:rsidRDefault="00FD4334">
            <w:pPr>
              <w:pStyle w:val="BodyText3"/>
              <w:spacing w:after="0"/>
              <w:jc w:val="both"/>
              <w:rPr>
                <w:rFonts w:ascii="Arial" w:hAnsi="Arial" w:cs="Arial"/>
                <w:spacing w:val="-3"/>
                <w:sz w:val="20"/>
                <w:szCs w:val="20"/>
              </w:rPr>
            </w:pPr>
          </w:p>
          <w:p w14:paraId="19C995A7" w14:textId="236467F6" w:rsidR="00FD4334" w:rsidRPr="007F26D1" w:rsidRDefault="6E7AF4DC">
            <w:pPr>
              <w:pStyle w:val="BodyText3"/>
              <w:spacing w:after="0"/>
              <w:jc w:val="both"/>
              <w:rPr>
                <w:rFonts w:ascii="Arial" w:hAnsi="Arial" w:cs="Arial"/>
                <w:sz w:val="20"/>
                <w:szCs w:val="20"/>
              </w:rPr>
            </w:pPr>
            <w:r w:rsidRPr="34030362">
              <w:rPr>
                <w:rFonts w:ascii="Arial" w:hAnsi="Arial" w:cs="Arial"/>
                <w:sz w:val="20"/>
                <w:szCs w:val="20"/>
              </w:rPr>
              <w:t>HPD subsidy w</w:t>
            </w:r>
            <w:r w:rsidR="192AE053" w:rsidRPr="34030362">
              <w:rPr>
                <w:rFonts w:ascii="Arial" w:hAnsi="Arial" w:cs="Arial"/>
                <w:sz w:val="20"/>
                <w:szCs w:val="20"/>
              </w:rPr>
              <w:t>ill</w:t>
            </w:r>
            <w:r w:rsidRPr="34030362">
              <w:rPr>
                <w:rFonts w:ascii="Arial" w:hAnsi="Arial" w:cs="Arial"/>
                <w:sz w:val="20"/>
                <w:szCs w:val="20"/>
              </w:rPr>
              <w:t xml:space="preserve"> be made available on a competitive basis</w:t>
            </w:r>
            <w:r w:rsidR="192AE053" w:rsidRPr="34030362">
              <w:rPr>
                <w:rFonts w:ascii="Arial" w:hAnsi="Arial" w:cs="Arial"/>
                <w:sz w:val="20"/>
                <w:szCs w:val="20"/>
              </w:rPr>
              <w:t xml:space="preserve"> subject to the terms and con</w:t>
            </w:r>
            <w:r w:rsidR="0CED73E2" w:rsidRPr="34030362">
              <w:rPr>
                <w:rFonts w:ascii="Arial" w:hAnsi="Arial" w:cs="Arial"/>
                <w:sz w:val="20"/>
                <w:szCs w:val="20"/>
              </w:rPr>
              <w:t>ditions of the RFEI. HPD subsidy will</w:t>
            </w:r>
            <w:r w:rsidRPr="34030362">
              <w:rPr>
                <w:rFonts w:ascii="Arial" w:hAnsi="Arial" w:cs="Arial"/>
                <w:sz w:val="20"/>
                <w:szCs w:val="20"/>
              </w:rPr>
              <w:t xml:space="preserve"> be paired with other public and private sources including but not limited to private institutional lenders and private equity.  </w:t>
            </w:r>
            <w:r w:rsidR="2A736DBA" w:rsidRPr="34030362">
              <w:rPr>
                <w:rFonts w:ascii="Arial" w:hAnsi="Arial" w:cs="Arial"/>
                <w:sz w:val="20"/>
                <w:szCs w:val="20"/>
              </w:rPr>
              <w:t>HPD seeks proposals that do not utilize LIHTC t</w:t>
            </w:r>
            <w:r w:rsidRPr="34030362">
              <w:rPr>
                <w:rFonts w:ascii="Arial" w:hAnsi="Arial" w:cs="Arial"/>
                <w:sz w:val="20"/>
                <w:szCs w:val="20"/>
              </w:rPr>
              <w:t>ax credit allocations through the Federal Low Income Housing Tax Credit</w:t>
            </w:r>
            <w:r w:rsidR="2A736DBA" w:rsidRPr="34030362">
              <w:rPr>
                <w:rFonts w:ascii="Arial" w:hAnsi="Arial" w:cs="Arial"/>
                <w:sz w:val="20"/>
                <w:szCs w:val="20"/>
              </w:rPr>
              <w:t xml:space="preserve"> (LIHTC)</w:t>
            </w:r>
            <w:r w:rsidRPr="34030362">
              <w:rPr>
                <w:rFonts w:ascii="Arial" w:hAnsi="Arial" w:cs="Arial"/>
                <w:sz w:val="20"/>
                <w:szCs w:val="20"/>
              </w:rPr>
              <w:t xml:space="preserve"> Program</w:t>
            </w:r>
            <w:r w:rsidR="2A736DBA" w:rsidRPr="34030362">
              <w:rPr>
                <w:rFonts w:ascii="Arial" w:hAnsi="Arial" w:cs="Arial"/>
                <w:sz w:val="20"/>
                <w:szCs w:val="20"/>
              </w:rPr>
              <w:t>.</w:t>
            </w:r>
            <w:r w:rsidRPr="34030362">
              <w:rPr>
                <w:rFonts w:ascii="Arial" w:hAnsi="Arial" w:cs="Arial"/>
                <w:sz w:val="20"/>
                <w:szCs w:val="20"/>
              </w:rPr>
              <w:t xml:space="preserve"> </w:t>
            </w:r>
          </w:p>
          <w:p w14:paraId="657EE2DC" w14:textId="77777777" w:rsidR="00FD4334" w:rsidRPr="007F26D1" w:rsidRDefault="00FD4334">
            <w:pPr>
              <w:pStyle w:val="BodyText3"/>
              <w:spacing w:after="0"/>
              <w:jc w:val="both"/>
              <w:rPr>
                <w:rFonts w:ascii="Arial" w:hAnsi="Arial" w:cs="Arial"/>
                <w:sz w:val="20"/>
                <w:szCs w:val="20"/>
              </w:rPr>
            </w:pPr>
          </w:p>
        </w:tc>
      </w:tr>
      <w:tr w:rsidR="00FD4334" w:rsidRPr="007F26D1" w14:paraId="6950FCFC" w14:textId="77777777" w:rsidTr="34030362">
        <w:trPr>
          <w:trHeight w:val="899"/>
        </w:trPr>
        <w:tc>
          <w:tcPr>
            <w:tcW w:w="1602" w:type="dxa"/>
          </w:tcPr>
          <w:p w14:paraId="4C6C1682" w14:textId="77777777" w:rsidR="00FD4334" w:rsidRPr="007F26D1" w:rsidRDefault="00FD4334">
            <w:pPr>
              <w:rPr>
                <w:rFonts w:ascii="Arial" w:hAnsi="Arial" w:cs="Arial"/>
                <w:b/>
                <w:sz w:val="20"/>
                <w:szCs w:val="20"/>
              </w:rPr>
            </w:pPr>
            <w:r w:rsidRPr="007F26D1">
              <w:rPr>
                <w:rFonts w:ascii="Arial" w:hAnsi="Arial" w:cs="Arial"/>
                <w:b/>
                <w:sz w:val="20"/>
                <w:szCs w:val="20"/>
              </w:rPr>
              <w:t>Affordability Requirements</w:t>
            </w:r>
          </w:p>
          <w:p w14:paraId="69A85277" w14:textId="77777777" w:rsidR="00FD4334" w:rsidRPr="007F26D1" w:rsidRDefault="00FD4334">
            <w:pPr>
              <w:rPr>
                <w:rFonts w:ascii="Arial" w:hAnsi="Arial" w:cs="Arial"/>
                <w:b/>
                <w:sz w:val="20"/>
                <w:szCs w:val="20"/>
              </w:rPr>
            </w:pPr>
          </w:p>
        </w:tc>
        <w:tc>
          <w:tcPr>
            <w:tcW w:w="9018" w:type="dxa"/>
            <w:gridSpan w:val="2"/>
          </w:tcPr>
          <w:p w14:paraId="5095844C" w14:textId="259D6981" w:rsidR="00814F1A" w:rsidRDefault="00814F1A">
            <w:pPr>
              <w:pStyle w:val="BodyText3"/>
              <w:spacing w:after="0"/>
              <w:jc w:val="both"/>
              <w:rPr>
                <w:rFonts w:ascii="Arial" w:hAnsi="Arial" w:cs="Arial"/>
                <w:sz w:val="20"/>
                <w:szCs w:val="20"/>
              </w:rPr>
            </w:pPr>
            <w:r>
              <w:rPr>
                <w:rFonts w:ascii="Arial" w:hAnsi="Arial" w:cs="Arial"/>
                <w:sz w:val="20"/>
                <w:szCs w:val="20"/>
              </w:rPr>
              <w:t xml:space="preserve">HPD seeks proposals that maximize depth and length of affordability. The project will be subject to a regulatory term of no less than </w:t>
            </w:r>
            <w:r w:rsidR="00693A7D">
              <w:rPr>
                <w:rFonts w:ascii="Arial" w:hAnsi="Arial" w:cs="Arial"/>
                <w:sz w:val="20"/>
                <w:szCs w:val="20"/>
              </w:rPr>
              <w:t>30</w:t>
            </w:r>
            <w:r>
              <w:rPr>
                <w:rFonts w:ascii="Arial" w:hAnsi="Arial" w:cs="Arial"/>
                <w:sz w:val="20"/>
                <w:szCs w:val="20"/>
              </w:rPr>
              <w:t xml:space="preserve"> years. </w:t>
            </w:r>
          </w:p>
          <w:p w14:paraId="3658BA97" w14:textId="77777777" w:rsidR="00814F1A" w:rsidRDefault="00814F1A">
            <w:pPr>
              <w:pStyle w:val="BodyText3"/>
              <w:spacing w:after="0"/>
              <w:jc w:val="both"/>
              <w:rPr>
                <w:rFonts w:ascii="Arial" w:hAnsi="Arial" w:cs="Arial"/>
                <w:sz w:val="20"/>
                <w:szCs w:val="20"/>
              </w:rPr>
            </w:pPr>
          </w:p>
          <w:p w14:paraId="797085E1" w14:textId="4F184A35" w:rsidR="00FD4334" w:rsidRPr="007F26D1" w:rsidRDefault="00FD4334">
            <w:pPr>
              <w:pStyle w:val="BodyText3"/>
              <w:spacing w:after="0"/>
              <w:jc w:val="both"/>
              <w:rPr>
                <w:rFonts w:ascii="Arial" w:hAnsi="Arial" w:cs="Arial"/>
                <w:sz w:val="20"/>
                <w:szCs w:val="20"/>
              </w:rPr>
            </w:pPr>
            <w:r w:rsidRPr="007F26D1">
              <w:rPr>
                <w:rFonts w:ascii="Arial" w:hAnsi="Arial" w:cs="Arial"/>
                <w:sz w:val="20"/>
                <w:szCs w:val="20"/>
              </w:rPr>
              <w:t xml:space="preserve">Projects must </w:t>
            </w:r>
            <w:r w:rsidR="00814F1A">
              <w:rPr>
                <w:rFonts w:ascii="Arial" w:hAnsi="Arial" w:cs="Arial"/>
                <w:sz w:val="20"/>
                <w:szCs w:val="20"/>
              </w:rPr>
              <w:t xml:space="preserve">serve a range of household incomes. Affordable units must have rents affordable at or below 120% AMI, and all affordable rents must be affordable at least </w:t>
            </w:r>
            <w:r w:rsidR="00693A7D">
              <w:rPr>
                <w:rFonts w:ascii="Arial" w:hAnsi="Arial" w:cs="Arial"/>
                <w:sz w:val="20"/>
                <w:szCs w:val="20"/>
              </w:rPr>
              <w:t>20</w:t>
            </w:r>
            <w:r w:rsidR="00814F1A">
              <w:rPr>
                <w:rFonts w:ascii="Arial" w:hAnsi="Arial" w:cs="Arial"/>
                <w:sz w:val="20"/>
                <w:szCs w:val="20"/>
              </w:rPr>
              <w:t xml:space="preserve">% below market. </w:t>
            </w:r>
            <w:r w:rsidRPr="007F26D1">
              <w:rPr>
                <w:rFonts w:ascii="Arial" w:hAnsi="Arial" w:cs="Arial"/>
                <w:sz w:val="20"/>
                <w:szCs w:val="20"/>
              </w:rPr>
              <w:t xml:space="preserve">Each </w:t>
            </w:r>
            <w:r w:rsidR="00814F1A">
              <w:rPr>
                <w:rFonts w:ascii="Arial" w:hAnsi="Arial" w:cs="Arial"/>
                <w:sz w:val="20"/>
                <w:szCs w:val="20"/>
              </w:rPr>
              <w:t xml:space="preserve">affordable </w:t>
            </w:r>
            <w:r w:rsidRPr="007F26D1">
              <w:rPr>
                <w:rFonts w:ascii="Arial" w:hAnsi="Arial" w:cs="Arial"/>
                <w:sz w:val="20"/>
                <w:szCs w:val="20"/>
              </w:rPr>
              <w:t xml:space="preserve">unit, plus the superintendent’s unit, is eligible to receive HPD subsidy. </w:t>
            </w:r>
            <w:r w:rsidR="00814F1A">
              <w:rPr>
                <w:rFonts w:ascii="Arial" w:hAnsi="Arial" w:cs="Arial"/>
                <w:sz w:val="20"/>
                <w:szCs w:val="20"/>
              </w:rPr>
              <w:t>At least 25% of units must have rents affordable to extremely-low and very-low income households</w:t>
            </w:r>
            <w:r w:rsidRPr="007F26D1">
              <w:rPr>
                <w:rFonts w:ascii="Arial" w:hAnsi="Arial" w:cs="Arial"/>
                <w:sz w:val="20"/>
                <w:szCs w:val="20"/>
              </w:rPr>
              <w:t>, inclusive of units for formerly homeless households.</w:t>
            </w:r>
            <w:r w:rsidRPr="007F26D1">
              <w:rPr>
                <w:rStyle w:val="FootnoteReference"/>
                <w:rFonts w:ascii="Arial" w:hAnsi="Arial" w:cs="Arial"/>
                <w:sz w:val="20"/>
                <w:szCs w:val="20"/>
              </w:rPr>
              <w:footnoteReference w:id="2"/>
            </w:r>
            <w:r w:rsidRPr="007F26D1">
              <w:rPr>
                <w:rFonts w:ascii="Arial" w:hAnsi="Arial" w:cs="Arial"/>
                <w:sz w:val="20"/>
                <w:szCs w:val="20"/>
              </w:rPr>
              <w:t xml:space="preserve"> Projects may include a maximum of four non-homeless affordability tiers. The distribution of units shall be subject to review and approval by HPD. </w:t>
            </w:r>
          </w:p>
          <w:p w14:paraId="6CCD0318" w14:textId="77777777" w:rsidR="00FD4334" w:rsidRPr="007F26D1" w:rsidRDefault="00FD4334">
            <w:pPr>
              <w:pStyle w:val="BodyText3"/>
              <w:spacing w:after="0"/>
              <w:jc w:val="both"/>
              <w:rPr>
                <w:rFonts w:ascii="Arial" w:hAnsi="Arial" w:cs="Arial"/>
                <w:sz w:val="20"/>
                <w:szCs w:val="20"/>
              </w:rPr>
            </w:pPr>
          </w:p>
          <w:p w14:paraId="0FFCA163" w14:textId="71E3B22F" w:rsidR="00FD4334" w:rsidRPr="007F26D1" w:rsidRDefault="00FD4334">
            <w:pPr>
              <w:pStyle w:val="BodyText3"/>
              <w:spacing w:after="0"/>
              <w:jc w:val="both"/>
              <w:rPr>
                <w:rFonts w:ascii="Arial" w:hAnsi="Arial" w:cs="Arial"/>
                <w:sz w:val="20"/>
                <w:szCs w:val="20"/>
              </w:rPr>
            </w:pPr>
            <w:r w:rsidRPr="157811A2">
              <w:rPr>
                <w:rFonts w:ascii="Arial" w:hAnsi="Arial" w:cs="Arial"/>
                <w:sz w:val="20"/>
                <w:szCs w:val="20"/>
              </w:rPr>
              <w:t>All buildings are required to have a 15% homeless set-aside. These units may be either Our Space units, or an alternative framework as approved by HPD. Projects considering a homeless component with rental assistance other than PBV (for example ESSHI or 15/15) must have at least 30 units under the contract to be considered.  Projects may include supportive housing units up to a maximum of 30% of total units.</w:t>
            </w:r>
          </w:p>
          <w:p w14:paraId="69C81B91" w14:textId="77777777" w:rsidR="00FD4334" w:rsidRPr="007F26D1" w:rsidRDefault="00FD4334">
            <w:pPr>
              <w:pStyle w:val="BodyText3"/>
              <w:spacing w:after="0"/>
              <w:jc w:val="both"/>
              <w:rPr>
                <w:rFonts w:ascii="Arial" w:hAnsi="Arial" w:cs="Arial"/>
                <w:sz w:val="20"/>
                <w:szCs w:val="20"/>
              </w:rPr>
            </w:pPr>
          </w:p>
          <w:p w14:paraId="3CD68A41" w14:textId="77777777" w:rsidR="00FD4334" w:rsidRPr="007F26D1" w:rsidRDefault="00FD4334">
            <w:pPr>
              <w:pStyle w:val="BodyText3"/>
              <w:spacing w:after="0"/>
              <w:jc w:val="both"/>
              <w:rPr>
                <w:rFonts w:ascii="Arial" w:hAnsi="Arial" w:cs="Arial"/>
                <w:sz w:val="20"/>
                <w:szCs w:val="20"/>
              </w:rPr>
            </w:pPr>
            <w:r w:rsidRPr="007F26D1">
              <w:rPr>
                <w:rFonts w:ascii="Arial" w:hAnsi="Arial" w:cs="Arial"/>
                <w:sz w:val="20"/>
                <w:szCs w:val="20"/>
              </w:rPr>
              <w:t>Market rate units are not required to be rent stabilized.</w:t>
            </w:r>
          </w:p>
          <w:p w14:paraId="0D82ADC4" w14:textId="77777777" w:rsidR="00FD4334" w:rsidRPr="007F26D1" w:rsidRDefault="00FD4334">
            <w:pPr>
              <w:pStyle w:val="BodyText3"/>
              <w:spacing w:after="0"/>
              <w:jc w:val="both"/>
              <w:rPr>
                <w:rFonts w:ascii="Arial" w:hAnsi="Arial" w:cs="Arial"/>
                <w:sz w:val="20"/>
                <w:szCs w:val="20"/>
              </w:rPr>
            </w:pPr>
          </w:p>
        </w:tc>
      </w:tr>
      <w:tr w:rsidR="007D5791" w:rsidRPr="007F26D1" w14:paraId="6D44BF21" w14:textId="77777777" w:rsidTr="34030362">
        <w:tblPrEx>
          <w:tblBorders>
            <w:top w:val="dotted" w:sz="4" w:space="0" w:color="auto"/>
            <w:bottom w:val="dotted" w:sz="4" w:space="0" w:color="auto"/>
          </w:tblBorders>
        </w:tblPrEx>
        <w:trPr>
          <w:gridAfter w:val="1"/>
          <w:wAfter w:w="18" w:type="dxa"/>
          <w:trHeight w:val="46"/>
        </w:trPr>
        <w:tc>
          <w:tcPr>
            <w:tcW w:w="1602" w:type="dxa"/>
            <w:tcBorders>
              <w:top w:val="dotted" w:sz="4" w:space="0" w:color="auto"/>
              <w:bottom w:val="dotted" w:sz="4" w:space="0" w:color="auto"/>
            </w:tcBorders>
          </w:tcPr>
          <w:p w14:paraId="6E9185DB" w14:textId="77777777" w:rsidR="007D5791" w:rsidRPr="007F26D1" w:rsidRDefault="007D5791">
            <w:pPr>
              <w:rPr>
                <w:rFonts w:ascii="Arial" w:hAnsi="Arial" w:cs="Arial"/>
                <w:b/>
                <w:sz w:val="20"/>
                <w:szCs w:val="20"/>
              </w:rPr>
            </w:pPr>
            <w:r w:rsidRPr="007F26D1">
              <w:rPr>
                <w:rFonts w:ascii="Arial" w:hAnsi="Arial" w:cs="Arial"/>
                <w:b/>
                <w:sz w:val="20"/>
                <w:szCs w:val="20"/>
              </w:rPr>
              <w:t>Real Estate Tax Benefits</w:t>
            </w:r>
          </w:p>
        </w:tc>
        <w:tc>
          <w:tcPr>
            <w:tcW w:w="9000" w:type="dxa"/>
            <w:tcBorders>
              <w:top w:val="dotted" w:sz="4" w:space="0" w:color="auto"/>
              <w:bottom w:val="dotted" w:sz="4" w:space="0" w:color="auto"/>
            </w:tcBorders>
          </w:tcPr>
          <w:p w14:paraId="5FC9254F" w14:textId="19ED6A9A" w:rsidR="007D5791" w:rsidRDefault="007D5791">
            <w:pPr>
              <w:pStyle w:val="BodyTextIndent3"/>
              <w:overflowPunct w:val="0"/>
              <w:autoSpaceDE w:val="0"/>
              <w:autoSpaceDN w:val="0"/>
              <w:adjustRightInd w:val="0"/>
              <w:spacing w:after="0"/>
              <w:ind w:left="0"/>
              <w:jc w:val="both"/>
              <w:textAlignment w:val="baseline"/>
              <w:rPr>
                <w:rFonts w:ascii="Arial" w:hAnsi="Arial" w:cs="Arial"/>
                <w:sz w:val="20"/>
                <w:szCs w:val="20"/>
              </w:rPr>
            </w:pPr>
            <w:r w:rsidRPr="157811A2">
              <w:rPr>
                <w:rFonts w:ascii="Arial" w:hAnsi="Arial" w:cs="Arial"/>
                <w:sz w:val="20"/>
                <w:szCs w:val="20"/>
              </w:rPr>
              <w:t xml:space="preserve">Projects meeting the required affordability distribution will qualify for a discretionary Article XI tax exemption, which must be approved by the New York City Council.  All floor area within the project that benefits from the Article XI tax exemption must be restricted by the HPD Regulatory Agreement.  The term of the tax benefit must be coterminous with the </w:t>
            </w:r>
            <w:r w:rsidR="00814F1A">
              <w:rPr>
                <w:rFonts w:ascii="Arial" w:hAnsi="Arial" w:cs="Arial"/>
                <w:sz w:val="20"/>
                <w:szCs w:val="20"/>
              </w:rPr>
              <w:t xml:space="preserve">regulatory </w:t>
            </w:r>
            <w:r w:rsidRPr="157811A2">
              <w:rPr>
                <w:rFonts w:ascii="Arial" w:hAnsi="Arial" w:cs="Arial"/>
                <w:sz w:val="20"/>
                <w:szCs w:val="20"/>
              </w:rPr>
              <w:t>restriction term, up to a maximum of 40 years.  Commercial spaces are not eligible for Article XI and m</w:t>
            </w:r>
            <w:r w:rsidR="00814F1A">
              <w:rPr>
                <w:rFonts w:ascii="Arial" w:hAnsi="Arial" w:cs="Arial"/>
                <w:sz w:val="20"/>
                <w:szCs w:val="20"/>
              </w:rPr>
              <w:t>ay</w:t>
            </w:r>
            <w:r w:rsidRPr="157811A2">
              <w:rPr>
                <w:rFonts w:ascii="Arial" w:hAnsi="Arial" w:cs="Arial"/>
                <w:sz w:val="20"/>
                <w:szCs w:val="20"/>
              </w:rPr>
              <w:t xml:space="preserve"> pursue alternate tax abatement programs.  Parking </w:t>
            </w:r>
            <w:r w:rsidR="00693A7D">
              <w:rPr>
                <w:rFonts w:ascii="Arial" w:hAnsi="Arial" w:cs="Arial"/>
                <w:sz w:val="20"/>
                <w:szCs w:val="20"/>
              </w:rPr>
              <w:t xml:space="preserve">and community facility spaces </w:t>
            </w:r>
            <w:r w:rsidRPr="157811A2">
              <w:rPr>
                <w:rFonts w:ascii="Arial" w:hAnsi="Arial" w:cs="Arial"/>
                <w:sz w:val="20"/>
                <w:szCs w:val="20"/>
              </w:rPr>
              <w:t xml:space="preserve">may be included in the Article XI exemption area if restricted in a manner acceptable to HPD.  See </w:t>
            </w:r>
            <w:hyperlink r:id="rId8">
              <w:r w:rsidRPr="157811A2">
                <w:rPr>
                  <w:rStyle w:val="Hyperlink"/>
                  <w:rFonts w:ascii="Arial" w:hAnsi="Arial" w:cs="Arial"/>
                  <w:sz w:val="20"/>
                  <w:szCs w:val="20"/>
                </w:rPr>
                <w:t>HPD</w:t>
              </w:r>
              <w:r w:rsidRPr="157811A2">
                <w:rPr>
                  <w:rStyle w:val="Hyperlink"/>
                  <w:rFonts w:ascii="Arial" w:hAnsi="Arial" w:cs="Arial"/>
                  <w:sz w:val="20"/>
                  <w:szCs w:val="20"/>
                </w:rPr>
                <w:t xml:space="preserve"> </w:t>
              </w:r>
              <w:r w:rsidRPr="157811A2">
                <w:rPr>
                  <w:rStyle w:val="Hyperlink"/>
                  <w:rFonts w:ascii="Arial" w:hAnsi="Arial" w:cs="Arial"/>
                  <w:sz w:val="20"/>
                  <w:szCs w:val="20"/>
                </w:rPr>
                <w:t>Tax Credits and Incentives guidelines</w:t>
              </w:r>
            </w:hyperlink>
            <w:r w:rsidRPr="157811A2">
              <w:rPr>
                <w:rFonts w:ascii="Arial" w:hAnsi="Arial" w:cs="Arial"/>
                <w:sz w:val="20"/>
                <w:szCs w:val="20"/>
              </w:rPr>
              <w:t xml:space="preserve"> for more information. </w:t>
            </w:r>
          </w:p>
          <w:p w14:paraId="42A92031" w14:textId="77777777" w:rsidR="007D5791" w:rsidRPr="007F26D1" w:rsidRDefault="007D5791">
            <w:pPr>
              <w:pStyle w:val="BodyTextIndent3"/>
              <w:overflowPunct w:val="0"/>
              <w:autoSpaceDE w:val="0"/>
              <w:autoSpaceDN w:val="0"/>
              <w:adjustRightInd w:val="0"/>
              <w:spacing w:after="0"/>
              <w:ind w:left="0"/>
              <w:jc w:val="both"/>
              <w:textAlignment w:val="baseline"/>
              <w:rPr>
                <w:rFonts w:ascii="Arial" w:hAnsi="Arial" w:cs="Arial"/>
                <w:sz w:val="20"/>
                <w:szCs w:val="20"/>
              </w:rPr>
            </w:pPr>
          </w:p>
        </w:tc>
      </w:tr>
      <w:tr w:rsidR="00E246D6" w:rsidRPr="007F26D1" w14:paraId="685B5897" w14:textId="77777777" w:rsidTr="34030362">
        <w:trPr>
          <w:trHeight w:val="1052"/>
        </w:trPr>
        <w:tc>
          <w:tcPr>
            <w:tcW w:w="1602" w:type="dxa"/>
            <w:tcBorders>
              <w:top w:val="dotted" w:sz="4" w:space="0" w:color="auto"/>
              <w:bottom w:val="dotted" w:sz="4" w:space="0" w:color="auto"/>
              <w:right w:val="dotted" w:sz="4" w:space="0" w:color="auto"/>
            </w:tcBorders>
            <w:shd w:val="clear" w:color="auto" w:fill="auto"/>
          </w:tcPr>
          <w:p w14:paraId="76A22183" w14:textId="7560E615" w:rsidR="00E246D6" w:rsidRPr="007F26D1" w:rsidRDefault="160DCDB5" w:rsidP="629FA4B2">
            <w:pPr>
              <w:rPr>
                <w:rFonts w:ascii="Arial" w:hAnsi="Arial" w:cs="Arial"/>
                <w:b/>
                <w:bCs/>
                <w:sz w:val="20"/>
                <w:szCs w:val="20"/>
              </w:rPr>
            </w:pPr>
            <w:r w:rsidRPr="629FA4B2">
              <w:rPr>
                <w:rFonts w:ascii="Arial" w:hAnsi="Arial" w:cs="Arial"/>
                <w:b/>
                <w:bCs/>
                <w:sz w:val="20"/>
                <w:szCs w:val="20"/>
              </w:rPr>
              <w:t xml:space="preserve">Subsidy Allowance </w:t>
            </w:r>
          </w:p>
        </w:tc>
        <w:tc>
          <w:tcPr>
            <w:tcW w:w="9018" w:type="dxa"/>
            <w:gridSpan w:val="2"/>
            <w:tcBorders>
              <w:top w:val="dotted" w:sz="4" w:space="0" w:color="auto"/>
              <w:left w:val="single" w:sz="8" w:space="0" w:color="auto"/>
              <w:bottom w:val="dotted" w:sz="4" w:space="0" w:color="auto"/>
            </w:tcBorders>
            <w:shd w:val="clear" w:color="auto" w:fill="auto"/>
          </w:tcPr>
          <w:p w14:paraId="3AEBFCD6" w14:textId="522F0A32" w:rsidR="005C495D" w:rsidRPr="008F197C" w:rsidRDefault="3C9F567D" w:rsidP="005C495D">
            <w:pPr>
              <w:jc w:val="both"/>
              <w:rPr>
                <w:rFonts w:ascii="Arial" w:hAnsi="Arial" w:cs="Arial"/>
                <w:sz w:val="20"/>
                <w:szCs w:val="20"/>
              </w:rPr>
            </w:pPr>
            <w:r w:rsidRPr="02CCA684">
              <w:rPr>
                <w:rFonts w:ascii="Arial" w:hAnsi="Arial" w:cs="Arial"/>
                <w:sz w:val="20"/>
                <w:szCs w:val="20"/>
              </w:rPr>
              <w:t>Projects</w:t>
            </w:r>
            <w:r w:rsidR="641D392D" w:rsidRPr="02CCA684">
              <w:rPr>
                <w:rFonts w:ascii="Arial" w:hAnsi="Arial" w:cs="Arial"/>
                <w:sz w:val="20"/>
                <w:szCs w:val="20"/>
              </w:rPr>
              <w:t xml:space="preserve"> will be selected and prioritized based </w:t>
            </w:r>
            <w:r w:rsidR="00814F1A">
              <w:rPr>
                <w:rFonts w:ascii="Arial" w:hAnsi="Arial" w:cs="Arial"/>
                <w:sz w:val="20"/>
                <w:szCs w:val="20"/>
              </w:rPr>
              <w:t xml:space="preserve">efficient use of public resources, including City subsidy </w:t>
            </w:r>
            <w:r w:rsidR="641D392D" w:rsidRPr="02CCA684">
              <w:rPr>
                <w:rFonts w:ascii="Arial" w:hAnsi="Arial" w:cs="Arial"/>
                <w:sz w:val="20"/>
                <w:szCs w:val="20"/>
              </w:rPr>
              <w:t xml:space="preserve"> vis-à-vis the affordable population served.  </w:t>
            </w:r>
            <w:r w:rsidR="1C4F087F" w:rsidRPr="02CCA684">
              <w:rPr>
                <w:rFonts w:ascii="Arial" w:hAnsi="Arial" w:cs="Arial"/>
                <w:sz w:val="20"/>
                <w:szCs w:val="20"/>
              </w:rPr>
              <w:t xml:space="preserve">As part of the competitive subsidy analysis, proposals must demonstrate a meaningful cross-subsidization, whereby the affordable portion of the project is supported by the market rate component.  </w:t>
            </w:r>
            <w:r w:rsidR="54D6659E" w:rsidRPr="02CCA684">
              <w:rPr>
                <w:rFonts w:ascii="Arial" w:hAnsi="Arial" w:cs="Arial"/>
                <w:sz w:val="20"/>
                <w:szCs w:val="20"/>
              </w:rPr>
              <w:t>HPD may also require revenue recapture provisions during the operational period.</w:t>
            </w:r>
          </w:p>
          <w:p w14:paraId="4294FA83" w14:textId="77777777" w:rsidR="00E246D6" w:rsidRPr="007F26D1" w:rsidRDefault="00E246D6" w:rsidP="001D0B69">
            <w:pPr>
              <w:rPr>
                <w:rFonts w:ascii="Arial" w:hAnsi="Arial" w:cs="Arial"/>
                <w:sz w:val="20"/>
                <w:szCs w:val="20"/>
              </w:rPr>
            </w:pPr>
          </w:p>
        </w:tc>
      </w:tr>
      <w:tr w:rsidR="004E3356" w:rsidRPr="007F26D1" w14:paraId="7B331ADF" w14:textId="77777777" w:rsidTr="34030362">
        <w:trPr>
          <w:gridAfter w:val="1"/>
          <w:wAfter w:w="18" w:type="dxa"/>
        </w:trPr>
        <w:tc>
          <w:tcPr>
            <w:tcW w:w="1602" w:type="dxa"/>
          </w:tcPr>
          <w:p w14:paraId="17151D15" w14:textId="77777777" w:rsidR="004E3356" w:rsidRPr="007F26D1" w:rsidRDefault="004E3356">
            <w:pPr>
              <w:rPr>
                <w:rFonts w:ascii="Arial" w:hAnsi="Arial" w:cs="Arial"/>
                <w:b/>
                <w:sz w:val="20"/>
                <w:szCs w:val="20"/>
              </w:rPr>
            </w:pPr>
            <w:r w:rsidRPr="007F26D1">
              <w:rPr>
                <w:rFonts w:ascii="Arial" w:hAnsi="Arial" w:cs="Arial"/>
                <w:b/>
                <w:sz w:val="20"/>
                <w:szCs w:val="20"/>
              </w:rPr>
              <w:t>Equity Requirement</w:t>
            </w:r>
          </w:p>
          <w:p w14:paraId="20097763" w14:textId="77777777" w:rsidR="004E3356" w:rsidRPr="007F26D1" w:rsidRDefault="004E3356">
            <w:pPr>
              <w:rPr>
                <w:rFonts w:ascii="Arial" w:hAnsi="Arial" w:cs="Arial"/>
                <w:b/>
                <w:sz w:val="20"/>
                <w:szCs w:val="20"/>
              </w:rPr>
            </w:pPr>
          </w:p>
        </w:tc>
        <w:tc>
          <w:tcPr>
            <w:tcW w:w="9000" w:type="dxa"/>
          </w:tcPr>
          <w:p w14:paraId="4770EB3C" w14:textId="60D3C9DF" w:rsidR="00E32493" w:rsidRDefault="36B03906" w:rsidP="00E32493">
            <w:pPr>
              <w:jc w:val="both"/>
              <w:rPr>
                <w:rFonts w:ascii="Arial" w:hAnsi="Arial" w:cs="Arial"/>
                <w:sz w:val="20"/>
                <w:szCs w:val="20"/>
              </w:rPr>
            </w:pPr>
            <w:r w:rsidRPr="02CCA684">
              <w:rPr>
                <w:rFonts w:ascii="Arial" w:hAnsi="Arial" w:cs="Arial"/>
                <w:sz w:val="20"/>
                <w:szCs w:val="20"/>
              </w:rPr>
              <w:t>All market rate residential and non-residential spaces must be self-funded through a mix of debt and equity up to the</w:t>
            </w:r>
            <w:r w:rsidR="00BD4789">
              <w:rPr>
                <w:rFonts w:ascii="Arial" w:hAnsi="Arial" w:cs="Arial"/>
                <w:sz w:val="20"/>
                <w:szCs w:val="20"/>
              </w:rPr>
              <w:t xml:space="preserve"> total development cost</w:t>
            </w:r>
            <w:r w:rsidRPr="02CCA684">
              <w:rPr>
                <w:rFonts w:ascii="Arial" w:hAnsi="Arial" w:cs="Arial"/>
                <w:sz w:val="20"/>
                <w:szCs w:val="20"/>
              </w:rPr>
              <w:t xml:space="preserve"> of such spaces, inclusive of applicable hard</w:t>
            </w:r>
            <w:r w:rsidR="00BD4789">
              <w:rPr>
                <w:rFonts w:ascii="Arial" w:hAnsi="Arial" w:cs="Arial"/>
                <w:sz w:val="20"/>
                <w:szCs w:val="20"/>
              </w:rPr>
              <w:t xml:space="preserve"> costs, soft costs, </w:t>
            </w:r>
            <w:r w:rsidRPr="02CCA684">
              <w:rPr>
                <w:rFonts w:ascii="Arial" w:hAnsi="Arial" w:cs="Arial"/>
                <w:sz w:val="20"/>
                <w:szCs w:val="20"/>
              </w:rPr>
              <w:t xml:space="preserve">and acquisition costs.  </w:t>
            </w:r>
            <w:r w:rsidR="29DC960A" w:rsidRPr="02CCA684">
              <w:rPr>
                <w:rFonts w:ascii="Arial" w:hAnsi="Arial" w:cs="Arial"/>
                <w:sz w:val="20"/>
                <w:szCs w:val="20"/>
              </w:rPr>
              <w:t>T</w:t>
            </w:r>
            <w:r w:rsidRPr="02CCA684">
              <w:rPr>
                <w:rFonts w:ascii="Arial" w:hAnsi="Arial" w:cs="Arial"/>
                <w:sz w:val="20"/>
                <w:szCs w:val="20"/>
              </w:rPr>
              <w:t>he non-affordable portion of the project is</w:t>
            </w:r>
            <w:r w:rsidR="29DC960A" w:rsidRPr="02CCA684">
              <w:rPr>
                <w:rFonts w:ascii="Arial" w:hAnsi="Arial" w:cs="Arial"/>
                <w:sz w:val="20"/>
                <w:szCs w:val="20"/>
              </w:rPr>
              <w:t xml:space="preserve"> </w:t>
            </w:r>
            <w:r w:rsidRPr="02CCA684">
              <w:rPr>
                <w:rFonts w:ascii="Arial" w:hAnsi="Arial" w:cs="Arial"/>
                <w:sz w:val="20"/>
                <w:szCs w:val="20"/>
              </w:rPr>
              <w:t xml:space="preserve">expected to generate equity to cross subsidize the affordable portion of the project.  </w:t>
            </w:r>
          </w:p>
          <w:p w14:paraId="51FD3AD5" w14:textId="77777777" w:rsidR="00E32493" w:rsidRDefault="00E32493" w:rsidP="00E32493">
            <w:pPr>
              <w:jc w:val="both"/>
              <w:rPr>
                <w:rFonts w:ascii="Arial" w:hAnsi="Arial" w:cs="Arial"/>
                <w:sz w:val="20"/>
                <w:szCs w:val="20"/>
              </w:rPr>
            </w:pPr>
          </w:p>
          <w:p w14:paraId="7AC6D5A4" w14:textId="77D0A76A" w:rsidR="00E32493" w:rsidRPr="00AB13B2" w:rsidRDefault="36B03906" w:rsidP="00E32493">
            <w:pPr>
              <w:jc w:val="both"/>
              <w:rPr>
                <w:rFonts w:ascii="Arial" w:hAnsi="Arial" w:cs="Arial"/>
                <w:sz w:val="20"/>
                <w:szCs w:val="20"/>
              </w:rPr>
            </w:pPr>
            <w:r w:rsidRPr="02CCA684">
              <w:rPr>
                <w:rFonts w:ascii="Arial" w:hAnsi="Arial" w:cs="Arial"/>
                <w:sz w:val="20"/>
                <w:szCs w:val="20"/>
              </w:rPr>
              <w:lastRenderedPageBreak/>
              <w:t xml:space="preserve">Developer equity can be in the form of cash or a Sponsor Loan with repayments out of cash flow. Reduced land price below market value may be considered for a portion of the equity requirement, per HPD’s approval. Reductions in paid developer’s fee </w:t>
            </w:r>
            <w:r w:rsidR="54D6659E" w:rsidRPr="02CCA684">
              <w:rPr>
                <w:rFonts w:ascii="Arial" w:hAnsi="Arial" w:cs="Arial"/>
                <w:sz w:val="20"/>
                <w:szCs w:val="20"/>
              </w:rPr>
              <w:t>(</w:t>
            </w:r>
            <w:r w:rsidRPr="02CCA684">
              <w:rPr>
                <w:rFonts w:ascii="Arial" w:hAnsi="Arial" w:cs="Arial"/>
                <w:sz w:val="20"/>
                <w:szCs w:val="20"/>
              </w:rPr>
              <w:t>as described below</w:t>
            </w:r>
            <w:r w:rsidR="54D6659E" w:rsidRPr="02CCA684">
              <w:rPr>
                <w:rFonts w:ascii="Arial" w:hAnsi="Arial" w:cs="Arial"/>
                <w:sz w:val="20"/>
                <w:szCs w:val="20"/>
              </w:rPr>
              <w:t>)</w:t>
            </w:r>
            <w:r w:rsidRPr="02CCA684">
              <w:rPr>
                <w:rFonts w:ascii="Arial" w:hAnsi="Arial" w:cs="Arial"/>
                <w:sz w:val="20"/>
                <w:szCs w:val="20"/>
              </w:rPr>
              <w:t xml:space="preserve"> may also be considered as part of the equity analysis.</w:t>
            </w:r>
          </w:p>
          <w:p w14:paraId="662A2DFC" w14:textId="77777777" w:rsidR="004E3356" w:rsidRPr="007F26D1" w:rsidRDefault="004E3356" w:rsidP="0030514E">
            <w:pPr>
              <w:jc w:val="both"/>
              <w:rPr>
                <w:rFonts w:ascii="Arial" w:hAnsi="Arial" w:cs="Arial"/>
                <w:sz w:val="20"/>
                <w:szCs w:val="20"/>
              </w:rPr>
            </w:pPr>
          </w:p>
        </w:tc>
      </w:tr>
      <w:tr w:rsidR="00795B6E" w:rsidRPr="007F26D1" w14:paraId="0C218271" w14:textId="77777777" w:rsidTr="34030362">
        <w:trPr>
          <w:trHeight w:val="6038"/>
        </w:trPr>
        <w:tc>
          <w:tcPr>
            <w:tcW w:w="1602" w:type="dxa"/>
          </w:tcPr>
          <w:p w14:paraId="4D0C7074" w14:textId="77777777" w:rsidR="00795B6E" w:rsidRPr="007F26D1" w:rsidRDefault="00795B6E">
            <w:pPr>
              <w:rPr>
                <w:rFonts w:ascii="Arial" w:hAnsi="Arial" w:cs="Arial"/>
                <w:b/>
                <w:sz w:val="20"/>
                <w:szCs w:val="20"/>
              </w:rPr>
            </w:pPr>
            <w:r w:rsidRPr="007F26D1">
              <w:rPr>
                <w:rFonts w:ascii="Arial" w:hAnsi="Arial" w:cs="Arial"/>
                <w:b/>
                <w:sz w:val="20"/>
                <w:szCs w:val="20"/>
              </w:rPr>
              <w:lastRenderedPageBreak/>
              <w:t>Initial Rents</w:t>
            </w:r>
            <w:r>
              <w:rPr>
                <w:rFonts w:ascii="Arial" w:hAnsi="Arial" w:cs="Arial"/>
                <w:b/>
                <w:sz w:val="20"/>
                <w:szCs w:val="20"/>
              </w:rPr>
              <w:t xml:space="preserve"> &amp; Marketing</w:t>
            </w:r>
          </w:p>
        </w:tc>
        <w:tc>
          <w:tcPr>
            <w:tcW w:w="9018" w:type="dxa"/>
            <w:gridSpan w:val="2"/>
          </w:tcPr>
          <w:p w14:paraId="7142FC03" w14:textId="77777777" w:rsidR="00795B6E" w:rsidRDefault="00795B6E">
            <w:pPr>
              <w:pStyle w:val="BodyText3"/>
              <w:spacing w:after="0"/>
              <w:jc w:val="both"/>
              <w:rPr>
                <w:rFonts w:ascii="Arial" w:hAnsi="Arial" w:cs="Arial"/>
                <w:sz w:val="20"/>
                <w:szCs w:val="20"/>
              </w:rPr>
            </w:pPr>
            <w:r w:rsidRPr="007F26D1">
              <w:rPr>
                <w:rFonts w:ascii="Arial" w:hAnsi="Arial" w:cs="Arial"/>
                <w:sz w:val="20"/>
                <w:szCs w:val="20"/>
              </w:rPr>
              <w:t>Initial rents for affordable units shall be set consistent with Table 1 below.  All other rents are calculated at 30% of the target AMI. All rent levels are calculated as gross rents less a utility allowance. Projects must comply with the below listed Marketing Bands, or where other funding sources restrict the allowable maximum income.  In addition, Program seeks to minimize overlapping income limits between tiers.</w:t>
            </w:r>
          </w:p>
          <w:p w14:paraId="31CAF22E" w14:textId="77777777" w:rsidR="00795B6E" w:rsidRDefault="00795B6E">
            <w:pPr>
              <w:pStyle w:val="BodyText3"/>
              <w:spacing w:after="0"/>
              <w:jc w:val="both"/>
              <w:rPr>
                <w:rFonts w:ascii="Arial" w:hAnsi="Arial" w:cs="Arial"/>
                <w:sz w:val="20"/>
                <w:szCs w:val="20"/>
              </w:rPr>
            </w:pPr>
          </w:p>
          <w:p w14:paraId="51B9A88D" w14:textId="77777777" w:rsidR="00795B6E" w:rsidRDefault="00795B6E">
            <w:pPr>
              <w:jc w:val="both"/>
              <w:rPr>
                <w:rFonts w:ascii="Arial" w:hAnsi="Arial" w:cs="Arial"/>
                <w:sz w:val="20"/>
                <w:szCs w:val="20"/>
              </w:rPr>
            </w:pPr>
            <w:r w:rsidRPr="005B37A7">
              <w:rPr>
                <w:rFonts w:ascii="Arial" w:hAnsi="Arial" w:cs="Arial"/>
                <w:sz w:val="20"/>
                <w:szCs w:val="20"/>
              </w:rPr>
              <w:t xml:space="preserve">All affordable units must be marketed according to HPD and HDC </w:t>
            </w:r>
            <w:hyperlink r:id="rId9" w:history="1">
              <w:r w:rsidRPr="005B37A7">
                <w:rPr>
                  <w:rStyle w:val="Hyperlink"/>
                  <w:rFonts w:ascii="Arial" w:hAnsi="Arial" w:cs="Arial"/>
                  <w:sz w:val="20"/>
                  <w:szCs w:val="20"/>
                </w:rPr>
                <w:t>Marketing Gu</w:t>
              </w:r>
              <w:r w:rsidRPr="005B37A7">
                <w:rPr>
                  <w:rStyle w:val="Hyperlink"/>
                  <w:rFonts w:ascii="Arial" w:hAnsi="Arial" w:cs="Arial"/>
                  <w:sz w:val="20"/>
                  <w:szCs w:val="20"/>
                </w:rPr>
                <w:t>i</w:t>
              </w:r>
              <w:r w:rsidRPr="005B37A7">
                <w:rPr>
                  <w:rStyle w:val="Hyperlink"/>
                  <w:rFonts w:ascii="Arial" w:hAnsi="Arial" w:cs="Arial"/>
                  <w:sz w:val="20"/>
                  <w:szCs w:val="20"/>
                </w:rPr>
                <w:t>delines</w:t>
              </w:r>
            </w:hyperlink>
            <w:r w:rsidRPr="005B37A7">
              <w:rPr>
                <w:rFonts w:ascii="Arial" w:hAnsi="Arial" w:cs="Arial"/>
                <w:sz w:val="20"/>
                <w:szCs w:val="20"/>
              </w:rPr>
              <w:t xml:space="preserve"> and </w:t>
            </w:r>
            <w:hyperlink r:id="rId10" w:history="1">
              <w:r w:rsidRPr="005B37A7">
                <w:rPr>
                  <w:rStyle w:val="Hyperlink"/>
                  <w:rFonts w:ascii="Arial" w:hAnsi="Arial" w:cs="Arial"/>
                  <w:sz w:val="20"/>
                  <w:szCs w:val="20"/>
                </w:rPr>
                <w:t>Te</w:t>
              </w:r>
              <w:r w:rsidRPr="005B37A7">
                <w:rPr>
                  <w:rStyle w:val="Hyperlink"/>
                  <w:rFonts w:ascii="Arial" w:hAnsi="Arial" w:cs="Arial"/>
                  <w:sz w:val="20"/>
                  <w:szCs w:val="20"/>
                </w:rPr>
                <w:t>n</w:t>
              </w:r>
              <w:r w:rsidRPr="005B37A7">
                <w:rPr>
                  <w:rStyle w:val="Hyperlink"/>
                  <w:rFonts w:ascii="Arial" w:hAnsi="Arial" w:cs="Arial"/>
                  <w:sz w:val="20"/>
                  <w:szCs w:val="20"/>
                </w:rPr>
                <w:t>ant Selection Criteria</w:t>
              </w:r>
            </w:hyperlink>
            <w:r w:rsidRPr="005B37A7">
              <w:rPr>
                <w:rFonts w:ascii="Arial" w:hAnsi="Arial" w:cs="Arial"/>
                <w:sz w:val="20"/>
                <w:szCs w:val="20"/>
              </w:rPr>
              <w:t xml:space="preserve">.  The Developer must submit a marketing plan for agency review and approval prior to marketing.  On an annual basis, HPD may require a certified rent roll, written certification of tenant incomes, and other supporting documentation. </w:t>
            </w:r>
          </w:p>
          <w:p w14:paraId="5A83FAE5" w14:textId="77777777" w:rsidR="00795B6E" w:rsidRDefault="00795B6E">
            <w:pPr>
              <w:jc w:val="both"/>
              <w:rPr>
                <w:rFonts w:ascii="Arial" w:hAnsi="Arial" w:cs="Arial"/>
                <w:sz w:val="20"/>
                <w:szCs w:val="20"/>
              </w:rPr>
            </w:pPr>
          </w:p>
          <w:tbl>
            <w:tblPr>
              <w:tblStyle w:val="TableGrid"/>
              <w:tblpPr w:leftFromText="180" w:rightFromText="180" w:vertAnchor="text" w:horzAnchor="margin" w:tblpY="-31"/>
              <w:tblOverlap w:val="never"/>
              <w:tblW w:w="8725" w:type="dxa"/>
              <w:tblLayout w:type="fixed"/>
              <w:tblLook w:val="04A0" w:firstRow="1" w:lastRow="0" w:firstColumn="1" w:lastColumn="0" w:noHBand="0" w:noVBand="1"/>
            </w:tblPr>
            <w:tblGrid>
              <w:gridCol w:w="1615"/>
              <w:gridCol w:w="1534"/>
              <w:gridCol w:w="1394"/>
              <w:gridCol w:w="1394"/>
              <w:gridCol w:w="1394"/>
              <w:gridCol w:w="1394"/>
            </w:tblGrid>
            <w:tr w:rsidR="00795B6E" w:rsidRPr="007F26D1" w14:paraId="02B2AE5C" w14:textId="77777777">
              <w:trPr>
                <w:trHeight w:val="368"/>
              </w:trPr>
              <w:tc>
                <w:tcPr>
                  <w:tcW w:w="8725" w:type="dxa"/>
                  <w:gridSpan w:val="6"/>
                  <w:tcBorders>
                    <w:bottom w:val="single" w:sz="4" w:space="0" w:color="FFFFFF" w:themeColor="background1"/>
                  </w:tcBorders>
                  <w:shd w:val="clear" w:color="auto" w:fill="7F7F7F" w:themeFill="text1" w:themeFillTint="80"/>
                  <w:vAlign w:val="center"/>
                </w:tcPr>
                <w:p w14:paraId="143CFC95" w14:textId="77777777" w:rsidR="00795B6E" w:rsidRPr="00795B6E" w:rsidRDefault="00795B6E">
                  <w:pPr>
                    <w:rPr>
                      <w:rFonts w:ascii="Arial" w:hAnsi="Arial" w:cs="Arial"/>
                      <w:b/>
                      <w:color w:val="FFFFFF" w:themeColor="background1"/>
                      <w:sz w:val="18"/>
                      <w:szCs w:val="18"/>
                    </w:rPr>
                  </w:pPr>
                  <w:r w:rsidRPr="00795B6E">
                    <w:rPr>
                      <w:rFonts w:ascii="Arial" w:hAnsi="Arial" w:cs="Arial"/>
                      <w:b/>
                      <w:color w:val="FFFFFF" w:themeColor="background1"/>
                      <w:sz w:val="18"/>
                      <w:szCs w:val="18"/>
                    </w:rPr>
                    <w:t>Table 1: Rents &amp; Income Bands</w:t>
                  </w:r>
                </w:p>
              </w:tc>
            </w:tr>
            <w:tr w:rsidR="00795B6E" w:rsidRPr="007F26D1" w14:paraId="3820FC45" w14:textId="77777777">
              <w:trPr>
                <w:trHeight w:val="368"/>
              </w:trPr>
              <w:tc>
                <w:tcPr>
                  <w:tcW w:w="1615" w:type="dxa"/>
                  <w:vMerge w:val="restart"/>
                  <w:tcBorders>
                    <w:bottom w:val="single" w:sz="4" w:space="0" w:color="FFFFFF" w:themeColor="background1"/>
                    <w:right w:val="single" w:sz="4" w:space="0" w:color="FFFFFF" w:themeColor="background1"/>
                  </w:tcBorders>
                  <w:shd w:val="clear" w:color="auto" w:fill="7F7F7F" w:themeFill="text1" w:themeFillTint="80"/>
                  <w:vAlign w:val="center"/>
                </w:tcPr>
                <w:p w14:paraId="1BD7A4D0" w14:textId="77777777" w:rsidR="00795B6E" w:rsidRPr="00795B6E" w:rsidRDefault="00795B6E">
                  <w:pPr>
                    <w:jc w:val="center"/>
                    <w:rPr>
                      <w:rFonts w:ascii="Arial" w:hAnsi="Arial" w:cs="Arial"/>
                      <w:b/>
                      <w:color w:val="FFFFFF" w:themeColor="background1"/>
                      <w:sz w:val="18"/>
                      <w:szCs w:val="18"/>
                    </w:rPr>
                  </w:pPr>
                  <w:r w:rsidRPr="00795B6E">
                    <w:rPr>
                      <w:rFonts w:ascii="Arial" w:hAnsi="Arial" w:cs="Arial"/>
                      <w:b/>
                      <w:color w:val="FFFFFF" w:themeColor="background1"/>
                      <w:sz w:val="18"/>
                      <w:szCs w:val="18"/>
                    </w:rPr>
                    <w:t>Underwritten Rent Level</w:t>
                  </w:r>
                  <w:r w:rsidRPr="00795B6E">
                    <w:rPr>
                      <w:rFonts w:ascii="Arial" w:hAnsi="Arial" w:cs="Arial"/>
                      <w:b/>
                      <w:bCs/>
                      <w:iCs/>
                      <w:color w:val="FFFFFF" w:themeColor="background1"/>
                      <w:sz w:val="18"/>
                      <w:szCs w:val="18"/>
                      <w:vertAlign w:val="superscript"/>
                    </w:rPr>
                    <w:t>††</w:t>
                  </w:r>
                </w:p>
              </w:tc>
              <w:tc>
                <w:tcPr>
                  <w:tcW w:w="1534"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14:paraId="3ADA8B8B" w14:textId="77777777" w:rsidR="00795B6E" w:rsidRPr="00795B6E" w:rsidRDefault="00795B6E">
                  <w:pPr>
                    <w:jc w:val="center"/>
                    <w:rPr>
                      <w:rFonts w:ascii="Arial" w:hAnsi="Arial" w:cs="Arial"/>
                      <w:b/>
                      <w:color w:val="FFFFFF" w:themeColor="background1"/>
                      <w:sz w:val="18"/>
                      <w:szCs w:val="18"/>
                    </w:rPr>
                  </w:pPr>
                  <w:r w:rsidRPr="00795B6E">
                    <w:rPr>
                      <w:rFonts w:ascii="Arial" w:hAnsi="Arial" w:cs="Arial"/>
                      <w:b/>
                      <w:color w:val="FFFFFF" w:themeColor="background1"/>
                      <w:sz w:val="18"/>
                      <w:szCs w:val="18"/>
                    </w:rPr>
                    <w:t>Income Limits</w:t>
                  </w:r>
                  <w:r w:rsidRPr="00795B6E">
                    <w:rPr>
                      <w:rFonts w:ascii="Arial" w:hAnsi="Arial" w:cs="Arial"/>
                      <w:color w:val="FFFFFF" w:themeColor="background1"/>
                      <w:sz w:val="18"/>
                      <w:szCs w:val="18"/>
                      <w:vertAlign w:val="superscript"/>
                    </w:rPr>
                    <w:t>†</w:t>
                  </w:r>
                </w:p>
              </w:tc>
              <w:tc>
                <w:tcPr>
                  <w:tcW w:w="5576" w:type="dxa"/>
                  <w:gridSpan w:val="4"/>
                  <w:tcBorders>
                    <w:left w:val="single" w:sz="4" w:space="0" w:color="FFFFFF" w:themeColor="background1"/>
                    <w:bottom w:val="single" w:sz="4" w:space="0" w:color="FFFFFF" w:themeColor="background1"/>
                  </w:tcBorders>
                  <w:shd w:val="clear" w:color="auto" w:fill="7F7F7F" w:themeFill="text1" w:themeFillTint="80"/>
                  <w:vAlign w:val="center"/>
                </w:tcPr>
                <w:p w14:paraId="6D282504" w14:textId="77777777" w:rsidR="00795B6E" w:rsidRPr="00795B6E" w:rsidRDefault="00795B6E">
                  <w:pPr>
                    <w:jc w:val="center"/>
                    <w:rPr>
                      <w:rFonts w:ascii="Arial" w:hAnsi="Arial" w:cs="Arial"/>
                      <w:b/>
                      <w:color w:val="FFFFFF" w:themeColor="background1"/>
                      <w:sz w:val="18"/>
                      <w:szCs w:val="18"/>
                    </w:rPr>
                  </w:pPr>
                  <w:r w:rsidRPr="00795B6E">
                    <w:rPr>
                      <w:rFonts w:ascii="Arial" w:hAnsi="Arial" w:cs="Arial"/>
                      <w:b/>
                      <w:color w:val="FFFFFF" w:themeColor="background1"/>
                      <w:sz w:val="18"/>
                      <w:szCs w:val="18"/>
                    </w:rPr>
                    <w:t>Maximum Initial Rents</w:t>
                  </w:r>
                </w:p>
              </w:tc>
            </w:tr>
            <w:tr w:rsidR="00795B6E" w:rsidRPr="007F26D1" w14:paraId="1242F41C" w14:textId="77777777">
              <w:trPr>
                <w:trHeight w:val="350"/>
              </w:trPr>
              <w:tc>
                <w:tcPr>
                  <w:tcW w:w="1615" w:type="dxa"/>
                  <w:vMerge/>
                  <w:tcBorders>
                    <w:bottom w:val="single" w:sz="4" w:space="0" w:color="FFFFFF" w:themeColor="background1"/>
                    <w:right w:val="single" w:sz="4" w:space="0" w:color="FFFFFF" w:themeColor="background1"/>
                  </w:tcBorders>
                  <w:shd w:val="clear" w:color="auto" w:fill="7F7F7F" w:themeFill="text1" w:themeFillTint="80"/>
                </w:tcPr>
                <w:p w14:paraId="647AB99B" w14:textId="77777777" w:rsidR="00795B6E" w:rsidRPr="007F26D1" w:rsidRDefault="00795B6E">
                  <w:pPr>
                    <w:jc w:val="both"/>
                    <w:rPr>
                      <w:rFonts w:ascii="Arial" w:hAnsi="Arial" w:cs="Arial"/>
                      <w:b/>
                      <w:color w:val="FFFFFF" w:themeColor="background1"/>
                      <w:sz w:val="20"/>
                      <w:szCs w:val="20"/>
                    </w:rPr>
                  </w:pPr>
                </w:p>
              </w:tc>
              <w:tc>
                <w:tcPr>
                  <w:tcW w:w="1534" w:type="dxa"/>
                  <w:vMerge/>
                  <w:tcBorders>
                    <w:top w:val="single" w:sz="4" w:space="0" w:color="FFFFFF" w:themeColor="background1"/>
                    <w:left w:val="single" w:sz="4" w:space="0" w:color="FFFFFF" w:themeColor="background1"/>
                    <w:bottom w:val="single" w:sz="4" w:space="0" w:color="404040" w:themeColor="text1" w:themeTint="BF"/>
                    <w:right w:val="single" w:sz="4" w:space="0" w:color="FFFFFF" w:themeColor="background1"/>
                  </w:tcBorders>
                  <w:shd w:val="clear" w:color="auto" w:fill="7F7F7F" w:themeFill="text1" w:themeFillTint="80"/>
                </w:tcPr>
                <w:p w14:paraId="532F67A5" w14:textId="77777777" w:rsidR="00795B6E" w:rsidRPr="00795B6E" w:rsidRDefault="00795B6E">
                  <w:pPr>
                    <w:jc w:val="both"/>
                    <w:rPr>
                      <w:rFonts w:ascii="Arial" w:hAnsi="Arial" w:cs="Arial"/>
                      <w:b/>
                      <w:color w:val="FFFFFF" w:themeColor="background1"/>
                      <w:sz w:val="18"/>
                      <w:szCs w:val="18"/>
                    </w:rPr>
                  </w:pPr>
                </w:p>
              </w:tc>
              <w:tc>
                <w:tcPr>
                  <w:tcW w:w="1394" w:type="dxa"/>
                  <w:tcBorders>
                    <w:top w:val="single" w:sz="4" w:space="0" w:color="FFFFFF" w:themeColor="background1"/>
                    <w:left w:val="single" w:sz="4" w:space="0" w:color="FFFFFF" w:themeColor="background1"/>
                    <w:bottom w:val="single" w:sz="4" w:space="0" w:color="404040" w:themeColor="text1" w:themeTint="BF"/>
                    <w:right w:val="single" w:sz="4" w:space="0" w:color="FFFFFF" w:themeColor="background1"/>
                  </w:tcBorders>
                  <w:shd w:val="clear" w:color="auto" w:fill="7F7F7F" w:themeFill="text1" w:themeFillTint="80"/>
                  <w:vAlign w:val="center"/>
                </w:tcPr>
                <w:p w14:paraId="5CA7F3D7" w14:textId="77777777" w:rsidR="00795B6E" w:rsidRPr="00795B6E" w:rsidRDefault="00795B6E">
                  <w:pPr>
                    <w:jc w:val="center"/>
                    <w:rPr>
                      <w:rFonts w:ascii="Arial" w:hAnsi="Arial" w:cs="Arial"/>
                      <w:b/>
                      <w:color w:val="FFFFFF" w:themeColor="background1"/>
                      <w:sz w:val="18"/>
                      <w:szCs w:val="18"/>
                    </w:rPr>
                  </w:pPr>
                  <w:r w:rsidRPr="00795B6E">
                    <w:rPr>
                      <w:rFonts w:ascii="Arial" w:hAnsi="Arial" w:cs="Arial"/>
                      <w:b/>
                      <w:color w:val="FFFFFF" w:themeColor="background1"/>
                      <w:sz w:val="18"/>
                      <w:szCs w:val="18"/>
                    </w:rPr>
                    <w:t>Studio*</w:t>
                  </w:r>
                </w:p>
              </w:tc>
              <w:tc>
                <w:tcPr>
                  <w:tcW w:w="1394" w:type="dxa"/>
                  <w:tcBorders>
                    <w:top w:val="single" w:sz="4" w:space="0" w:color="FFFFFF" w:themeColor="background1"/>
                    <w:left w:val="single" w:sz="4" w:space="0" w:color="FFFFFF" w:themeColor="background1"/>
                    <w:bottom w:val="single" w:sz="4" w:space="0" w:color="404040" w:themeColor="text1" w:themeTint="BF"/>
                    <w:right w:val="single" w:sz="4" w:space="0" w:color="FFFFFF" w:themeColor="background1"/>
                  </w:tcBorders>
                  <w:shd w:val="clear" w:color="auto" w:fill="7F7F7F" w:themeFill="text1" w:themeFillTint="80"/>
                  <w:vAlign w:val="center"/>
                </w:tcPr>
                <w:p w14:paraId="32426336" w14:textId="77777777" w:rsidR="00795B6E" w:rsidRPr="00795B6E" w:rsidRDefault="00795B6E">
                  <w:pPr>
                    <w:jc w:val="center"/>
                    <w:rPr>
                      <w:rFonts w:ascii="Arial" w:hAnsi="Arial" w:cs="Arial"/>
                      <w:b/>
                      <w:color w:val="FFFFFF" w:themeColor="background1"/>
                      <w:sz w:val="18"/>
                      <w:szCs w:val="18"/>
                    </w:rPr>
                  </w:pPr>
                  <w:r w:rsidRPr="00795B6E">
                    <w:rPr>
                      <w:rFonts w:ascii="Arial" w:hAnsi="Arial" w:cs="Arial"/>
                      <w:b/>
                      <w:color w:val="FFFFFF" w:themeColor="background1"/>
                      <w:sz w:val="18"/>
                      <w:szCs w:val="18"/>
                    </w:rPr>
                    <w:t>1 BR</w:t>
                  </w:r>
                </w:p>
              </w:tc>
              <w:tc>
                <w:tcPr>
                  <w:tcW w:w="1394" w:type="dxa"/>
                  <w:tcBorders>
                    <w:top w:val="single" w:sz="4" w:space="0" w:color="FFFFFF" w:themeColor="background1"/>
                    <w:left w:val="single" w:sz="4" w:space="0" w:color="FFFFFF" w:themeColor="background1"/>
                    <w:bottom w:val="single" w:sz="4" w:space="0" w:color="404040" w:themeColor="text1" w:themeTint="BF"/>
                    <w:right w:val="single" w:sz="4" w:space="0" w:color="FFFFFF" w:themeColor="background1"/>
                  </w:tcBorders>
                  <w:shd w:val="clear" w:color="auto" w:fill="7F7F7F" w:themeFill="text1" w:themeFillTint="80"/>
                  <w:vAlign w:val="center"/>
                </w:tcPr>
                <w:p w14:paraId="37E4DBDE" w14:textId="77777777" w:rsidR="00795B6E" w:rsidRPr="00795B6E" w:rsidRDefault="00795B6E">
                  <w:pPr>
                    <w:jc w:val="center"/>
                    <w:rPr>
                      <w:rFonts w:ascii="Arial" w:hAnsi="Arial" w:cs="Arial"/>
                      <w:b/>
                      <w:color w:val="FFFFFF" w:themeColor="background1"/>
                      <w:sz w:val="18"/>
                      <w:szCs w:val="18"/>
                    </w:rPr>
                  </w:pPr>
                  <w:r w:rsidRPr="00795B6E">
                    <w:rPr>
                      <w:rFonts w:ascii="Arial" w:hAnsi="Arial" w:cs="Arial"/>
                      <w:b/>
                      <w:color w:val="FFFFFF" w:themeColor="background1"/>
                      <w:sz w:val="18"/>
                      <w:szCs w:val="18"/>
                    </w:rPr>
                    <w:t>2 BR</w:t>
                  </w:r>
                </w:p>
              </w:tc>
              <w:tc>
                <w:tcPr>
                  <w:tcW w:w="1394" w:type="dxa"/>
                  <w:tcBorders>
                    <w:top w:val="single" w:sz="4" w:space="0" w:color="FFFFFF" w:themeColor="background1"/>
                    <w:left w:val="single" w:sz="4" w:space="0" w:color="FFFFFF" w:themeColor="background1"/>
                    <w:bottom w:val="single" w:sz="4" w:space="0" w:color="404040" w:themeColor="text1" w:themeTint="BF"/>
                  </w:tcBorders>
                  <w:shd w:val="clear" w:color="auto" w:fill="7F7F7F" w:themeFill="text1" w:themeFillTint="80"/>
                  <w:vAlign w:val="center"/>
                </w:tcPr>
                <w:p w14:paraId="61D3B7E7" w14:textId="77777777" w:rsidR="00795B6E" w:rsidRPr="00795B6E" w:rsidRDefault="00795B6E">
                  <w:pPr>
                    <w:jc w:val="center"/>
                    <w:rPr>
                      <w:rFonts w:ascii="Arial" w:hAnsi="Arial" w:cs="Arial"/>
                      <w:b/>
                      <w:color w:val="FFFFFF" w:themeColor="background1"/>
                      <w:sz w:val="18"/>
                      <w:szCs w:val="18"/>
                    </w:rPr>
                  </w:pPr>
                  <w:r w:rsidRPr="00795B6E">
                    <w:rPr>
                      <w:rFonts w:ascii="Arial" w:hAnsi="Arial" w:cs="Arial"/>
                      <w:b/>
                      <w:color w:val="FFFFFF" w:themeColor="background1"/>
                      <w:sz w:val="18"/>
                      <w:szCs w:val="18"/>
                    </w:rPr>
                    <w:t>3 BR</w:t>
                  </w:r>
                </w:p>
              </w:tc>
            </w:tr>
            <w:tr w:rsidR="00795B6E" w:rsidRPr="007F26D1" w14:paraId="3C721DF0" w14:textId="77777777">
              <w:tc>
                <w:tcPr>
                  <w:tcW w:w="161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2D9B8BD2" w14:textId="77777777" w:rsidR="00795B6E" w:rsidRPr="00EF7CAA" w:rsidRDefault="00795B6E">
                  <w:pPr>
                    <w:jc w:val="center"/>
                    <w:rPr>
                      <w:rFonts w:ascii="Arial" w:hAnsi="Arial" w:cs="Arial"/>
                      <w:b/>
                      <w:color w:val="FFFFFF" w:themeColor="background1"/>
                      <w:sz w:val="18"/>
                      <w:szCs w:val="18"/>
                    </w:rPr>
                  </w:pPr>
                  <w:r w:rsidRPr="00EF7CAA">
                    <w:rPr>
                      <w:rFonts w:ascii="Arial" w:hAnsi="Arial" w:cs="Arial"/>
                      <w:b/>
                      <w:color w:val="FFFFFF" w:themeColor="background1"/>
                      <w:sz w:val="18"/>
                      <w:szCs w:val="18"/>
                    </w:rPr>
                    <w:t>OurSpace**</w:t>
                  </w:r>
                </w:p>
              </w:tc>
              <w:tc>
                <w:tcPr>
                  <w:tcW w:w="1534" w:type="dxa"/>
                  <w:tcBorders>
                    <w:top w:val="single" w:sz="4" w:space="0" w:color="404040" w:themeColor="text1" w:themeTint="BF"/>
                    <w:left w:val="single" w:sz="4" w:space="0" w:color="404040" w:themeColor="text1" w:themeTint="BF"/>
                    <w:bottom w:val="single" w:sz="4" w:space="0" w:color="404040" w:themeColor="text1" w:themeTint="BF"/>
                    <w:right w:val="single" w:sz="4" w:space="0" w:color="BFBFBF" w:themeColor="background1" w:themeShade="BF"/>
                  </w:tcBorders>
                  <w:vAlign w:val="center"/>
                </w:tcPr>
                <w:p w14:paraId="434FD33A" w14:textId="77777777" w:rsidR="00795B6E" w:rsidRPr="00795B6E" w:rsidRDefault="00795B6E">
                  <w:pPr>
                    <w:ind w:right="161"/>
                    <w:jc w:val="center"/>
                    <w:rPr>
                      <w:rFonts w:ascii="Arial" w:hAnsi="Arial" w:cs="Arial"/>
                      <w:sz w:val="18"/>
                      <w:szCs w:val="18"/>
                    </w:rPr>
                  </w:pPr>
                  <w:r w:rsidRPr="00795B6E">
                    <w:rPr>
                      <w:rFonts w:ascii="Arial" w:hAnsi="Arial" w:cs="Arial"/>
                      <w:sz w:val="18"/>
                      <w:szCs w:val="18"/>
                    </w:rPr>
                    <w:t>40% of AMI</w:t>
                  </w:r>
                </w:p>
              </w:tc>
              <w:tc>
                <w:tcPr>
                  <w:tcW w:w="1394" w:type="dxa"/>
                  <w:tcBorders>
                    <w:top w:val="single" w:sz="4" w:space="0" w:color="404040" w:themeColor="text1" w:themeTint="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672D09" w14:textId="77777777" w:rsidR="00795B6E" w:rsidRPr="00795B6E" w:rsidRDefault="00795B6E">
                  <w:pPr>
                    <w:jc w:val="center"/>
                    <w:rPr>
                      <w:rFonts w:ascii="Arial" w:hAnsi="Arial" w:cs="Arial"/>
                      <w:sz w:val="18"/>
                      <w:szCs w:val="18"/>
                    </w:rPr>
                  </w:pPr>
                  <w:r w:rsidRPr="00795B6E">
                    <w:rPr>
                      <w:rFonts w:ascii="Arial" w:hAnsi="Arial" w:cs="Arial"/>
                      <w:sz w:val="18"/>
                      <w:szCs w:val="18"/>
                    </w:rPr>
                    <w:t>$215</w:t>
                  </w:r>
                </w:p>
              </w:tc>
              <w:tc>
                <w:tcPr>
                  <w:tcW w:w="1394" w:type="dxa"/>
                  <w:tcBorders>
                    <w:top w:val="single" w:sz="4" w:space="0" w:color="404040" w:themeColor="text1" w:themeTint="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37B1B9" w14:textId="77777777" w:rsidR="00795B6E" w:rsidRPr="00795B6E" w:rsidRDefault="00795B6E">
                  <w:pPr>
                    <w:jc w:val="center"/>
                    <w:rPr>
                      <w:rFonts w:ascii="Arial" w:hAnsi="Arial" w:cs="Arial"/>
                      <w:sz w:val="18"/>
                      <w:szCs w:val="18"/>
                    </w:rPr>
                  </w:pPr>
                  <w:r w:rsidRPr="00795B6E">
                    <w:rPr>
                      <w:rFonts w:ascii="Arial" w:hAnsi="Arial" w:cs="Arial"/>
                      <w:sz w:val="18"/>
                      <w:szCs w:val="18"/>
                    </w:rPr>
                    <w:t>$283</w:t>
                  </w:r>
                </w:p>
              </w:tc>
              <w:tc>
                <w:tcPr>
                  <w:tcW w:w="1394" w:type="dxa"/>
                  <w:tcBorders>
                    <w:top w:val="single" w:sz="4" w:space="0" w:color="404040" w:themeColor="text1" w:themeTint="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A9DEEC" w14:textId="77777777" w:rsidR="00795B6E" w:rsidRPr="00795B6E" w:rsidRDefault="00795B6E">
                  <w:pPr>
                    <w:jc w:val="center"/>
                    <w:rPr>
                      <w:rFonts w:ascii="Arial" w:hAnsi="Arial" w:cs="Arial"/>
                      <w:sz w:val="18"/>
                      <w:szCs w:val="18"/>
                    </w:rPr>
                  </w:pPr>
                  <w:r w:rsidRPr="00795B6E">
                    <w:rPr>
                      <w:rFonts w:ascii="Arial" w:hAnsi="Arial" w:cs="Arial"/>
                      <w:sz w:val="18"/>
                      <w:szCs w:val="18"/>
                    </w:rPr>
                    <w:t>$425</w:t>
                  </w:r>
                </w:p>
              </w:tc>
              <w:tc>
                <w:tcPr>
                  <w:tcW w:w="1394" w:type="dxa"/>
                  <w:tcBorders>
                    <w:top w:val="single" w:sz="4" w:space="0" w:color="404040" w:themeColor="text1" w:themeTint="BF"/>
                    <w:left w:val="single" w:sz="4" w:space="0" w:color="BFBFBF" w:themeColor="background1" w:themeShade="BF"/>
                    <w:bottom w:val="single" w:sz="4" w:space="0" w:color="BFBFBF" w:themeColor="background1" w:themeShade="BF"/>
                  </w:tcBorders>
                  <w:vAlign w:val="center"/>
                </w:tcPr>
                <w:p w14:paraId="37D9DFF9" w14:textId="77777777" w:rsidR="00795B6E" w:rsidRPr="00795B6E" w:rsidRDefault="00795B6E">
                  <w:pPr>
                    <w:jc w:val="center"/>
                    <w:rPr>
                      <w:rFonts w:ascii="Arial" w:hAnsi="Arial" w:cs="Arial"/>
                      <w:sz w:val="18"/>
                      <w:szCs w:val="18"/>
                    </w:rPr>
                  </w:pPr>
                  <w:r w:rsidRPr="00795B6E">
                    <w:rPr>
                      <w:rFonts w:ascii="Arial" w:hAnsi="Arial" w:cs="Arial"/>
                      <w:sz w:val="18"/>
                      <w:szCs w:val="18"/>
                    </w:rPr>
                    <w:t>$512</w:t>
                  </w:r>
                </w:p>
              </w:tc>
            </w:tr>
            <w:tr w:rsidR="00795B6E" w:rsidRPr="007F26D1" w14:paraId="0A78729B" w14:textId="77777777">
              <w:tc>
                <w:tcPr>
                  <w:tcW w:w="161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00F348CC" w14:textId="77777777" w:rsidR="00795B6E" w:rsidRPr="00EF7CAA" w:rsidRDefault="00795B6E">
                  <w:pPr>
                    <w:jc w:val="center"/>
                    <w:rPr>
                      <w:rFonts w:ascii="Arial" w:hAnsi="Arial" w:cs="Arial"/>
                      <w:b/>
                      <w:color w:val="FFFFFF" w:themeColor="background1"/>
                      <w:sz w:val="18"/>
                      <w:szCs w:val="18"/>
                    </w:rPr>
                  </w:pPr>
                  <w:r w:rsidRPr="00EF7CAA">
                    <w:rPr>
                      <w:rFonts w:ascii="Arial" w:hAnsi="Arial" w:cs="Arial"/>
                      <w:b/>
                      <w:color w:val="FFFFFF" w:themeColor="background1"/>
                      <w:sz w:val="18"/>
                      <w:szCs w:val="18"/>
                    </w:rPr>
                    <w:t>27% of AMI</w:t>
                  </w:r>
                </w:p>
              </w:tc>
              <w:tc>
                <w:tcPr>
                  <w:tcW w:w="1534" w:type="dxa"/>
                  <w:tcBorders>
                    <w:top w:val="single" w:sz="4" w:space="0" w:color="404040" w:themeColor="text1" w:themeTint="BF"/>
                    <w:left w:val="single" w:sz="4" w:space="0" w:color="404040" w:themeColor="text1" w:themeTint="BF"/>
                    <w:bottom w:val="single" w:sz="4" w:space="0" w:color="404040" w:themeColor="text1" w:themeTint="BF"/>
                    <w:right w:val="single" w:sz="4" w:space="0" w:color="BFBFBF" w:themeColor="background1" w:themeShade="BF"/>
                  </w:tcBorders>
                  <w:vAlign w:val="center"/>
                </w:tcPr>
                <w:p w14:paraId="103C6DF7" w14:textId="77777777" w:rsidR="00795B6E" w:rsidRPr="00795B6E" w:rsidRDefault="00795B6E">
                  <w:pPr>
                    <w:ind w:right="161"/>
                    <w:jc w:val="center"/>
                    <w:rPr>
                      <w:rFonts w:ascii="Arial" w:hAnsi="Arial" w:cs="Arial"/>
                      <w:sz w:val="18"/>
                      <w:szCs w:val="18"/>
                    </w:rPr>
                  </w:pPr>
                  <w:r w:rsidRPr="00795B6E">
                    <w:rPr>
                      <w:rFonts w:ascii="Arial" w:hAnsi="Arial" w:cs="Arial"/>
                      <w:sz w:val="18"/>
                      <w:szCs w:val="18"/>
                    </w:rPr>
                    <w:t>30% of AMI</w:t>
                  </w:r>
                </w:p>
              </w:tc>
              <w:tc>
                <w:tcPr>
                  <w:tcW w:w="5576" w:type="dxa"/>
                  <w:gridSpan w:val="4"/>
                  <w:vMerge w:val="restart"/>
                  <w:tcBorders>
                    <w:top w:val="single" w:sz="4" w:space="0" w:color="BFBFBF" w:themeColor="background1" w:themeShade="BF"/>
                    <w:left w:val="single" w:sz="4" w:space="0" w:color="BFBFBF" w:themeColor="background1" w:themeShade="BF"/>
                  </w:tcBorders>
                  <w:vAlign w:val="center"/>
                </w:tcPr>
                <w:p w14:paraId="79534484" w14:textId="77777777" w:rsidR="00795B6E" w:rsidRPr="00795B6E" w:rsidRDefault="00795B6E">
                  <w:pPr>
                    <w:jc w:val="center"/>
                    <w:rPr>
                      <w:rFonts w:ascii="Arial" w:hAnsi="Arial" w:cs="Arial"/>
                      <w:sz w:val="18"/>
                      <w:szCs w:val="18"/>
                    </w:rPr>
                  </w:pPr>
                  <w:r w:rsidRPr="00795B6E">
                    <w:rPr>
                      <w:rFonts w:ascii="Arial" w:hAnsi="Arial" w:cs="Arial"/>
                      <w:sz w:val="18"/>
                      <w:szCs w:val="18"/>
                    </w:rPr>
                    <w:t xml:space="preserve">For current initial rent figures, please refer to the HPD website at </w:t>
                  </w:r>
                  <w:hyperlink r:id="rId11" w:history="1">
                    <w:r w:rsidRPr="00795B6E">
                      <w:rPr>
                        <w:rStyle w:val="Hyperlink"/>
                        <w:rFonts w:ascii="Arial" w:hAnsi="Arial" w:cs="Arial"/>
                        <w:sz w:val="18"/>
                        <w:szCs w:val="18"/>
                      </w:rPr>
                      <w:t>https://www1.nyc.gov/site/hpd/services-and-information/area-median-income.page</w:t>
                    </w:r>
                  </w:hyperlink>
                  <w:r w:rsidRPr="00795B6E">
                    <w:rPr>
                      <w:rFonts w:ascii="Arial" w:hAnsi="Arial" w:cs="Arial"/>
                      <w:sz w:val="18"/>
                      <w:szCs w:val="18"/>
                    </w:rPr>
                    <w:t>.  Please note rents should be adjusted per the appropriate utility allowance for the project.</w:t>
                  </w:r>
                </w:p>
              </w:tc>
            </w:tr>
            <w:tr w:rsidR="00795B6E" w:rsidRPr="007F26D1" w14:paraId="7430A7FB" w14:textId="77777777">
              <w:tc>
                <w:tcPr>
                  <w:tcW w:w="161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49D15CBB" w14:textId="77777777" w:rsidR="00795B6E" w:rsidRPr="00EF7CAA" w:rsidRDefault="00795B6E">
                  <w:pPr>
                    <w:jc w:val="center"/>
                    <w:rPr>
                      <w:rFonts w:ascii="Arial" w:hAnsi="Arial" w:cs="Arial"/>
                      <w:b/>
                      <w:color w:val="FFFFFF" w:themeColor="background1"/>
                      <w:sz w:val="18"/>
                      <w:szCs w:val="18"/>
                    </w:rPr>
                  </w:pPr>
                  <w:r w:rsidRPr="00EF7CAA">
                    <w:rPr>
                      <w:rFonts w:ascii="Arial" w:hAnsi="Arial" w:cs="Arial"/>
                      <w:b/>
                      <w:color w:val="FFFFFF" w:themeColor="background1"/>
                      <w:sz w:val="18"/>
                      <w:szCs w:val="18"/>
                    </w:rPr>
                    <w:t>37% of AMI</w:t>
                  </w:r>
                </w:p>
              </w:tc>
              <w:tc>
                <w:tcPr>
                  <w:tcW w:w="1534" w:type="dxa"/>
                  <w:tcBorders>
                    <w:top w:val="single" w:sz="4" w:space="0" w:color="404040" w:themeColor="text1" w:themeTint="BF"/>
                    <w:left w:val="single" w:sz="4" w:space="0" w:color="404040" w:themeColor="text1" w:themeTint="BF"/>
                    <w:bottom w:val="single" w:sz="4" w:space="0" w:color="404040" w:themeColor="text1" w:themeTint="BF"/>
                    <w:right w:val="single" w:sz="4" w:space="0" w:color="BFBFBF" w:themeColor="background1" w:themeShade="BF"/>
                  </w:tcBorders>
                  <w:vAlign w:val="center"/>
                </w:tcPr>
                <w:p w14:paraId="7FDF4327" w14:textId="77777777" w:rsidR="00795B6E" w:rsidRPr="00EF7CAA" w:rsidRDefault="00795B6E">
                  <w:pPr>
                    <w:ind w:right="161"/>
                    <w:jc w:val="center"/>
                    <w:rPr>
                      <w:rFonts w:ascii="Arial" w:hAnsi="Arial" w:cs="Arial"/>
                      <w:sz w:val="18"/>
                      <w:szCs w:val="18"/>
                    </w:rPr>
                  </w:pPr>
                  <w:r w:rsidRPr="00EF7CAA">
                    <w:rPr>
                      <w:rFonts w:ascii="Arial" w:hAnsi="Arial" w:cs="Arial"/>
                      <w:sz w:val="18"/>
                      <w:szCs w:val="18"/>
                    </w:rPr>
                    <w:t>40% of AMI</w:t>
                  </w:r>
                </w:p>
              </w:tc>
              <w:tc>
                <w:tcPr>
                  <w:tcW w:w="5576" w:type="dxa"/>
                  <w:gridSpan w:val="4"/>
                  <w:vMerge/>
                  <w:tcBorders>
                    <w:left w:val="single" w:sz="4" w:space="0" w:color="BFBFBF" w:themeColor="background1" w:themeShade="BF"/>
                  </w:tcBorders>
                  <w:vAlign w:val="center"/>
                </w:tcPr>
                <w:p w14:paraId="33202B7A" w14:textId="77777777" w:rsidR="00795B6E" w:rsidRPr="007F26D1" w:rsidRDefault="00795B6E">
                  <w:pPr>
                    <w:jc w:val="right"/>
                    <w:rPr>
                      <w:rFonts w:ascii="Arial" w:hAnsi="Arial" w:cs="Arial"/>
                      <w:sz w:val="20"/>
                      <w:szCs w:val="20"/>
                    </w:rPr>
                  </w:pPr>
                </w:p>
              </w:tc>
            </w:tr>
            <w:tr w:rsidR="00795B6E" w:rsidRPr="007F26D1" w14:paraId="54EBA7F8" w14:textId="77777777">
              <w:tc>
                <w:tcPr>
                  <w:tcW w:w="161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09A93F06" w14:textId="77777777" w:rsidR="00795B6E" w:rsidRPr="00EF7CAA" w:rsidRDefault="00795B6E">
                  <w:pPr>
                    <w:jc w:val="center"/>
                    <w:rPr>
                      <w:rFonts w:ascii="Arial" w:hAnsi="Arial" w:cs="Arial"/>
                      <w:b/>
                      <w:color w:val="FFFFFF" w:themeColor="background1"/>
                      <w:sz w:val="18"/>
                      <w:szCs w:val="18"/>
                    </w:rPr>
                  </w:pPr>
                  <w:r w:rsidRPr="00EF7CAA">
                    <w:rPr>
                      <w:rFonts w:ascii="Arial" w:hAnsi="Arial" w:cs="Arial"/>
                      <w:b/>
                      <w:color w:val="FFFFFF" w:themeColor="background1"/>
                      <w:sz w:val="18"/>
                      <w:szCs w:val="18"/>
                    </w:rPr>
                    <w:t>47% of AMI</w:t>
                  </w:r>
                </w:p>
              </w:tc>
              <w:tc>
                <w:tcPr>
                  <w:tcW w:w="1534" w:type="dxa"/>
                  <w:tcBorders>
                    <w:top w:val="single" w:sz="4" w:space="0" w:color="404040" w:themeColor="text1" w:themeTint="BF"/>
                    <w:left w:val="single" w:sz="4" w:space="0" w:color="404040" w:themeColor="text1" w:themeTint="BF"/>
                    <w:bottom w:val="single" w:sz="4" w:space="0" w:color="404040" w:themeColor="text1" w:themeTint="BF"/>
                    <w:right w:val="single" w:sz="4" w:space="0" w:color="BFBFBF" w:themeColor="background1" w:themeShade="BF"/>
                  </w:tcBorders>
                  <w:vAlign w:val="center"/>
                </w:tcPr>
                <w:p w14:paraId="3CE37FF4" w14:textId="77777777" w:rsidR="00795B6E" w:rsidRPr="00EF7CAA" w:rsidRDefault="00795B6E">
                  <w:pPr>
                    <w:ind w:right="161"/>
                    <w:jc w:val="center"/>
                    <w:rPr>
                      <w:rFonts w:ascii="Arial" w:hAnsi="Arial" w:cs="Arial"/>
                      <w:sz w:val="18"/>
                      <w:szCs w:val="18"/>
                    </w:rPr>
                  </w:pPr>
                  <w:r w:rsidRPr="00EF7CAA">
                    <w:rPr>
                      <w:rFonts w:ascii="Arial" w:hAnsi="Arial" w:cs="Arial"/>
                      <w:sz w:val="18"/>
                      <w:szCs w:val="18"/>
                    </w:rPr>
                    <w:t>50% of AMI</w:t>
                  </w:r>
                </w:p>
              </w:tc>
              <w:tc>
                <w:tcPr>
                  <w:tcW w:w="5576" w:type="dxa"/>
                  <w:gridSpan w:val="4"/>
                  <w:vMerge/>
                  <w:tcBorders>
                    <w:left w:val="single" w:sz="4" w:space="0" w:color="BFBFBF" w:themeColor="background1" w:themeShade="BF"/>
                  </w:tcBorders>
                  <w:vAlign w:val="center"/>
                </w:tcPr>
                <w:p w14:paraId="7EB08502" w14:textId="77777777" w:rsidR="00795B6E" w:rsidRPr="007F26D1" w:rsidRDefault="00795B6E">
                  <w:pPr>
                    <w:jc w:val="right"/>
                    <w:rPr>
                      <w:rFonts w:ascii="Arial" w:hAnsi="Arial" w:cs="Arial"/>
                      <w:sz w:val="20"/>
                      <w:szCs w:val="20"/>
                    </w:rPr>
                  </w:pPr>
                </w:p>
              </w:tc>
            </w:tr>
            <w:tr w:rsidR="00795B6E" w:rsidRPr="007F26D1" w14:paraId="41780BA7" w14:textId="77777777">
              <w:tc>
                <w:tcPr>
                  <w:tcW w:w="161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6F97B3E0" w14:textId="77777777" w:rsidR="00795B6E" w:rsidRPr="00EF7CAA" w:rsidRDefault="00795B6E">
                  <w:pPr>
                    <w:jc w:val="center"/>
                    <w:rPr>
                      <w:rFonts w:ascii="Arial" w:hAnsi="Arial" w:cs="Arial"/>
                      <w:b/>
                      <w:color w:val="FFFFFF" w:themeColor="background1"/>
                      <w:sz w:val="18"/>
                      <w:szCs w:val="18"/>
                    </w:rPr>
                  </w:pPr>
                  <w:r w:rsidRPr="00EF7CAA">
                    <w:rPr>
                      <w:rFonts w:ascii="Arial" w:hAnsi="Arial" w:cs="Arial"/>
                      <w:b/>
                      <w:color w:val="FFFFFF" w:themeColor="background1"/>
                      <w:sz w:val="18"/>
                      <w:szCs w:val="18"/>
                    </w:rPr>
                    <w:t>57% of AMI</w:t>
                  </w:r>
                </w:p>
              </w:tc>
              <w:tc>
                <w:tcPr>
                  <w:tcW w:w="1534" w:type="dxa"/>
                  <w:tcBorders>
                    <w:top w:val="single" w:sz="4" w:space="0" w:color="404040" w:themeColor="text1" w:themeTint="BF"/>
                    <w:left w:val="single" w:sz="4" w:space="0" w:color="404040" w:themeColor="text1" w:themeTint="BF"/>
                    <w:bottom w:val="single" w:sz="4" w:space="0" w:color="404040" w:themeColor="text1" w:themeTint="BF"/>
                    <w:right w:val="single" w:sz="4" w:space="0" w:color="BFBFBF" w:themeColor="background1" w:themeShade="BF"/>
                  </w:tcBorders>
                  <w:vAlign w:val="center"/>
                </w:tcPr>
                <w:p w14:paraId="29DC8FF6" w14:textId="77777777" w:rsidR="00795B6E" w:rsidRPr="00EF7CAA" w:rsidRDefault="00795B6E">
                  <w:pPr>
                    <w:ind w:right="161"/>
                    <w:jc w:val="center"/>
                    <w:rPr>
                      <w:rFonts w:ascii="Arial" w:hAnsi="Arial" w:cs="Arial"/>
                      <w:sz w:val="18"/>
                      <w:szCs w:val="18"/>
                    </w:rPr>
                  </w:pPr>
                  <w:r w:rsidRPr="00EF7CAA">
                    <w:rPr>
                      <w:rFonts w:ascii="Arial" w:hAnsi="Arial" w:cs="Arial"/>
                      <w:sz w:val="18"/>
                      <w:szCs w:val="18"/>
                    </w:rPr>
                    <w:t>60% of AMI</w:t>
                  </w:r>
                </w:p>
              </w:tc>
              <w:tc>
                <w:tcPr>
                  <w:tcW w:w="5576" w:type="dxa"/>
                  <w:gridSpan w:val="4"/>
                  <w:vMerge/>
                  <w:tcBorders>
                    <w:left w:val="single" w:sz="4" w:space="0" w:color="BFBFBF" w:themeColor="background1" w:themeShade="BF"/>
                  </w:tcBorders>
                  <w:vAlign w:val="center"/>
                </w:tcPr>
                <w:p w14:paraId="0D8BA650" w14:textId="77777777" w:rsidR="00795B6E" w:rsidRPr="007F26D1" w:rsidRDefault="00795B6E">
                  <w:pPr>
                    <w:jc w:val="right"/>
                    <w:rPr>
                      <w:rFonts w:ascii="Arial" w:hAnsi="Arial" w:cs="Arial"/>
                      <w:sz w:val="20"/>
                      <w:szCs w:val="20"/>
                    </w:rPr>
                  </w:pPr>
                </w:p>
              </w:tc>
            </w:tr>
            <w:tr w:rsidR="00795B6E" w:rsidRPr="007F26D1" w14:paraId="68E7DCEF" w14:textId="77777777">
              <w:tc>
                <w:tcPr>
                  <w:tcW w:w="161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3563CF2C" w14:textId="77777777" w:rsidR="00795B6E" w:rsidRPr="00EF7CAA" w:rsidRDefault="00795B6E">
                  <w:pPr>
                    <w:jc w:val="center"/>
                    <w:rPr>
                      <w:rFonts w:ascii="Arial" w:hAnsi="Arial" w:cs="Arial"/>
                      <w:b/>
                      <w:color w:val="FFFFFF" w:themeColor="background1"/>
                      <w:sz w:val="18"/>
                      <w:szCs w:val="18"/>
                    </w:rPr>
                  </w:pPr>
                  <w:r w:rsidRPr="00EF7CAA">
                    <w:rPr>
                      <w:rFonts w:ascii="Arial" w:hAnsi="Arial" w:cs="Arial"/>
                      <w:b/>
                      <w:color w:val="FFFFFF" w:themeColor="background1"/>
                      <w:sz w:val="18"/>
                      <w:szCs w:val="18"/>
                    </w:rPr>
                    <w:t>67% of AMI</w:t>
                  </w:r>
                </w:p>
              </w:tc>
              <w:tc>
                <w:tcPr>
                  <w:tcW w:w="1534" w:type="dxa"/>
                  <w:tcBorders>
                    <w:top w:val="single" w:sz="4" w:space="0" w:color="404040" w:themeColor="text1" w:themeTint="BF"/>
                    <w:left w:val="single" w:sz="4" w:space="0" w:color="404040" w:themeColor="text1" w:themeTint="BF"/>
                    <w:bottom w:val="single" w:sz="4" w:space="0" w:color="404040" w:themeColor="text1" w:themeTint="BF"/>
                    <w:right w:val="single" w:sz="4" w:space="0" w:color="BFBFBF" w:themeColor="background1" w:themeShade="BF"/>
                  </w:tcBorders>
                  <w:vAlign w:val="center"/>
                </w:tcPr>
                <w:p w14:paraId="510FAC17" w14:textId="77777777" w:rsidR="00795B6E" w:rsidRPr="00EF7CAA" w:rsidRDefault="00795B6E">
                  <w:pPr>
                    <w:ind w:right="161"/>
                    <w:jc w:val="center"/>
                    <w:rPr>
                      <w:rFonts w:ascii="Arial" w:hAnsi="Arial" w:cs="Arial"/>
                      <w:sz w:val="18"/>
                      <w:szCs w:val="18"/>
                    </w:rPr>
                  </w:pPr>
                  <w:r w:rsidRPr="00EF7CAA">
                    <w:rPr>
                      <w:rFonts w:ascii="Arial" w:hAnsi="Arial" w:cs="Arial"/>
                      <w:sz w:val="18"/>
                      <w:szCs w:val="18"/>
                    </w:rPr>
                    <w:t>70% of AMI</w:t>
                  </w:r>
                </w:p>
              </w:tc>
              <w:tc>
                <w:tcPr>
                  <w:tcW w:w="5576" w:type="dxa"/>
                  <w:gridSpan w:val="4"/>
                  <w:vMerge/>
                  <w:tcBorders>
                    <w:left w:val="single" w:sz="4" w:space="0" w:color="BFBFBF" w:themeColor="background1" w:themeShade="BF"/>
                  </w:tcBorders>
                  <w:vAlign w:val="center"/>
                </w:tcPr>
                <w:p w14:paraId="6149D7C7" w14:textId="77777777" w:rsidR="00795B6E" w:rsidRPr="007F26D1" w:rsidRDefault="00795B6E">
                  <w:pPr>
                    <w:jc w:val="right"/>
                    <w:rPr>
                      <w:rFonts w:ascii="Arial" w:hAnsi="Arial" w:cs="Arial"/>
                      <w:sz w:val="20"/>
                      <w:szCs w:val="20"/>
                    </w:rPr>
                  </w:pPr>
                </w:p>
              </w:tc>
            </w:tr>
            <w:tr w:rsidR="00795B6E" w:rsidRPr="007F26D1" w14:paraId="34C15FD6" w14:textId="77777777">
              <w:trPr>
                <w:trHeight w:val="231"/>
              </w:trPr>
              <w:tc>
                <w:tcPr>
                  <w:tcW w:w="1615" w:type="dxa"/>
                  <w:tcBorders>
                    <w:top w:val="single" w:sz="4" w:space="0" w:color="FFFFFF" w:themeColor="background1"/>
                    <w:bottom w:val="single" w:sz="4" w:space="0" w:color="FFFFFF" w:themeColor="background1"/>
                    <w:right w:val="single" w:sz="4" w:space="0" w:color="BFBFBF" w:themeColor="background1" w:themeShade="BF"/>
                  </w:tcBorders>
                  <w:shd w:val="clear" w:color="auto" w:fill="7F7F7F" w:themeFill="text1" w:themeFillTint="80"/>
                </w:tcPr>
                <w:p w14:paraId="2213AF64" w14:textId="77777777" w:rsidR="00795B6E" w:rsidRPr="00EF7CAA" w:rsidRDefault="00795B6E">
                  <w:pPr>
                    <w:jc w:val="center"/>
                    <w:rPr>
                      <w:rFonts w:ascii="Arial" w:hAnsi="Arial" w:cs="Arial"/>
                      <w:b/>
                      <w:color w:val="FFFFFF" w:themeColor="background1"/>
                      <w:sz w:val="18"/>
                      <w:szCs w:val="18"/>
                    </w:rPr>
                  </w:pPr>
                  <w:r w:rsidRPr="00EF7CAA">
                    <w:rPr>
                      <w:rFonts w:ascii="Arial" w:hAnsi="Arial" w:cs="Arial"/>
                      <w:b/>
                      <w:color w:val="FFFFFF" w:themeColor="background1"/>
                      <w:sz w:val="18"/>
                      <w:szCs w:val="18"/>
                    </w:rPr>
                    <w:t>77% of AMI</w:t>
                  </w:r>
                </w:p>
              </w:tc>
              <w:tc>
                <w:tcPr>
                  <w:tcW w:w="1534" w:type="dxa"/>
                  <w:tcBorders>
                    <w:top w:val="single" w:sz="4" w:space="0" w:color="404040" w:themeColor="text1" w:themeTint="BF"/>
                    <w:bottom w:val="single" w:sz="4" w:space="0" w:color="404040" w:themeColor="text1" w:themeTint="BF"/>
                    <w:right w:val="single" w:sz="4" w:space="0" w:color="BFBFBF" w:themeColor="background1" w:themeShade="BF"/>
                  </w:tcBorders>
                  <w:shd w:val="clear" w:color="auto" w:fill="FFFFFF" w:themeFill="background1"/>
                </w:tcPr>
                <w:p w14:paraId="683C5EC0" w14:textId="77777777" w:rsidR="00795B6E" w:rsidRPr="00EF7CAA" w:rsidRDefault="00795B6E">
                  <w:pPr>
                    <w:ind w:right="161"/>
                    <w:jc w:val="center"/>
                    <w:rPr>
                      <w:rFonts w:ascii="Arial" w:hAnsi="Arial" w:cs="Arial"/>
                      <w:b/>
                      <w:color w:val="FFFFFF" w:themeColor="background1"/>
                      <w:sz w:val="18"/>
                      <w:szCs w:val="18"/>
                    </w:rPr>
                  </w:pPr>
                  <w:r w:rsidRPr="00EF7CAA">
                    <w:rPr>
                      <w:rFonts w:ascii="Arial" w:hAnsi="Arial" w:cs="Arial"/>
                      <w:sz w:val="18"/>
                      <w:szCs w:val="18"/>
                    </w:rPr>
                    <w:t>80% of AMI</w:t>
                  </w:r>
                </w:p>
              </w:tc>
              <w:tc>
                <w:tcPr>
                  <w:tcW w:w="5576" w:type="dxa"/>
                  <w:gridSpan w:val="4"/>
                  <w:vMerge/>
                  <w:tcBorders>
                    <w:left w:val="single" w:sz="4" w:space="0" w:color="BFBFBF" w:themeColor="background1" w:themeShade="BF"/>
                  </w:tcBorders>
                  <w:vAlign w:val="center"/>
                </w:tcPr>
                <w:p w14:paraId="6F0BDA44" w14:textId="77777777" w:rsidR="00795B6E" w:rsidRPr="007F26D1" w:rsidRDefault="00795B6E">
                  <w:pPr>
                    <w:jc w:val="right"/>
                    <w:rPr>
                      <w:rFonts w:ascii="Arial" w:hAnsi="Arial" w:cs="Arial"/>
                      <w:sz w:val="20"/>
                      <w:szCs w:val="20"/>
                    </w:rPr>
                  </w:pPr>
                </w:p>
              </w:tc>
            </w:tr>
            <w:tr w:rsidR="00795B6E" w:rsidRPr="007F26D1" w14:paraId="08DD4820" w14:textId="77777777">
              <w:tc>
                <w:tcPr>
                  <w:tcW w:w="161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79865567" w14:textId="77777777" w:rsidR="00795B6E" w:rsidRPr="00EF7CAA" w:rsidRDefault="00795B6E">
                  <w:pPr>
                    <w:jc w:val="center"/>
                    <w:rPr>
                      <w:rFonts w:ascii="Arial" w:hAnsi="Arial" w:cs="Arial"/>
                      <w:b/>
                      <w:color w:val="FFFFFF" w:themeColor="background1"/>
                      <w:sz w:val="18"/>
                      <w:szCs w:val="18"/>
                    </w:rPr>
                  </w:pPr>
                  <w:r w:rsidRPr="00EF7CAA">
                    <w:rPr>
                      <w:rFonts w:ascii="Arial" w:hAnsi="Arial" w:cs="Arial"/>
                      <w:b/>
                      <w:color w:val="FFFFFF" w:themeColor="background1"/>
                      <w:sz w:val="18"/>
                      <w:szCs w:val="18"/>
                    </w:rPr>
                    <w:t xml:space="preserve">  90% of AMI</w:t>
                  </w:r>
                </w:p>
              </w:tc>
              <w:tc>
                <w:tcPr>
                  <w:tcW w:w="1534" w:type="dxa"/>
                  <w:tcBorders>
                    <w:top w:val="single" w:sz="4" w:space="0" w:color="404040" w:themeColor="text1" w:themeTint="BF"/>
                    <w:left w:val="single" w:sz="4" w:space="0" w:color="404040" w:themeColor="text1" w:themeTint="BF"/>
                    <w:bottom w:val="single" w:sz="4" w:space="0" w:color="404040" w:themeColor="text1" w:themeTint="BF"/>
                    <w:right w:val="single" w:sz="4" w:space="0" w:color="BFBFBF" w:themeColor="background1" w:themeShade="BF"/>
                  </w:tcBorders>
                  <w:vAlign w:val="center"/>
                </w:tcPr>
                <w:p w14:paraId="31874741" w14:textId="77777777" w:rsidR="00795B6E" w:rsidRPr="00EF7CAA" w:rsidRDefault="00795B6E">
                  <w:pPr>
                    <w:ind w:right="161"/>
                    <w:jc w:val="center"/>
                    <w:rPr>
                      <w:rFonts w:ascii="Arial" w:hAnsi="Arial" w:cs="Arial"/>
                      <w:sz w:val="18"/>
                      <w:szCs w:val="18"/>
                    </w:rPr>
                  </w:pPr>
                  <w:r w:rsidRPr="00EF7CAA">
                    <w:rPr>
                      <w:rFonts w:ascii="Arial" w:hAnsi="Arial" w:cs="Arial"/>
                      <w:sz w:val="18"/>
                      <w:szCs w:val="18"/>
                    </w:rPr>
                    <w:t>100% of AMI</w:t>
                  </w:r>
                </w:p>
              </w:tc>
              <w:tc>
                <w:tcPr>
                  <w:tcW w:w="5576" w:type="dxa"/>
                  <w:gridSpan w:val="4"/>
                  <w:vMerge/>
                  <w:tcBorders>
                    <w:left w:val="single" w:sz="4" w:space="0" w:color="BFBFBF" w:themeColor="background1" w:themeShade="BF"/>
                  </w:tcBorders>
                  <w:vAlign w:val="center"/>
                </w:tcPr>
                <w:p w14:paraId="2DC565C0" w14:textId="77777777" w:rsidR="00795B6E" w:rsidRPr="007F26D1" w:rsidRDefault="00795B6E">
                  <w:pPr>
                    <w:jc w:val="right"/>
                    <w:rPr>
                      <w:rFonts w:ascii="Arial" w:hAnsi="Arial" w:cs="Arial"/>
                      <w:sz w:val="20"/>
                      <w:szCs w:val="20"/>
                    </w:rPr>
                  </w:pPr>
                </w:p>
              </w:tc>
            </w:tr>
            <w:tr w:rsidR="00795B6E" w:rsidRPr="007F26D1" w14:paraId="01D0CA48" w14:textId="77777777">
              <w:trPr>
                <w:trHeight w:val="192"/>
              </w:trPr>
              <w:tc>
                <w:tcPr>
                  <w:tcW w:w="1615" w:type="dxa"/>
                  <w:tcBorders>
                    <w:top w:val="single" w:sz="4" w:space="0" w:color="FFFFFF" w:themeColor="background1"/>
                    <w:bottom w:val="single" w:sz="4" w:space="0" w:color="FFFFFF" w:themeColor="background1"/>
                    <w:right w:val="single" w:sz="4" w:space="0" w:color="BFBFBF" w:themeColor="background1" w:themeShade="BF"/>
                  </w:tcBorders>
                  <w:shd w:val="clear" w:color="auto" w:fill="7F7F7F" w:themeFill="text1" w:themeFillTint="80"/>
                </w:tcPr>
                <w:p w14:paraId="2C24B125" w14:textId="77777777" w:rsidR="00795B6E" w:rsidRPr="00EF7CAA" w:rsidRDefault="00795B6E">
                  <w:pPr>
                    <w:jc w:val="center"/>
                    <w:rPr>
                      <w:rFonts w:ascii="Arial" w:hAnsi="Arial" w:cs="Arial"/>
                      <w:b/>
                      <w:color w:val="FFFFFF" w:themeColor="background1"/>
                      <w:sz w:val="18"/>
                      <w:szCs w:val="18"/>
                    </w:rPr>
                  </w:pPr>
                  <w:r w:rsidRPr="00EF7CAA">
                    <w:rPr>
                      <w:rFonts w:ascii="Arial" w:hAnsi="Arial" w:cs="Arial"/>
                      <w:b/>
                      <w:color w:val="FFFFFF" w:themeColor="background1"/>
                      <w:sz w:val="18"/>
                      <w:szCs w:val="18"/>
                    </w:rPr>
                    <w:t>100% of AMI</w:t>
                  </w:r>
                </w:p>
              </w:tc>
              <w:tc>
                <w:tcPr>
                  <w:tcW w:w="1534" w:type="dxa"/>
                  <w:tcBorders>
                    <w:top w:val="single" w:sz="4" w:space="0" w:color="404040" w:themeColor="text1" w:themeTint="BF"/>
                    <w:bottom w:val="single" w:sz="4" w:space="0" w:color="404040" w:themeColor="text1" w:themeTint="BF"/>
                    <w:right w:val="single" w:sz="4" w:space="0" w:color="BFBFBF" w:themeColor="background1" w:themeShade="BF"/>
                  </w:tcBorders>
                  <w:shd w:val="clear" w:color="auto" w:fill="FFFFFF" w:themeFill="background1"/>
                </w:tcPr>
                <w:p w14:paraId="16AC90CA" w14:textId="77777777" w:rsidR="00795B6E" w:rsidRPr="00EF7CAA" w:rsidRDefault="00795B6E">
                  <w:pPr>
                    <w:ind w:right="161"/>
                    <w:jc w:val="center"/>
                    <w:rPr>
                      <w:rFonts w:ascii="Arial" w:hAnsi="Arial" w:cs="Arial"/>
                      <w:sz w:val="18"/>
                      <w:szCs w:val="18"/>
                    </w:rPr>
                  </w:pPr>
                  <w:r w:rsidRPr="00EF7CAA">
                    <w:rPr>
                      <w:rFonts w:ascii="Arial" w:hAnsi="Arial" w:cs="Arial"/>
                      <w:sz w:val="18"/>
                      <w:szCs w:val="18"/>
                    </w:rPr>
                    <w:t>110% of AMI</w:t>
                  </w:r>
                </w:p>
              </w:tc>
              <w:tc>
                <w:tcPr>
                  <w:tcW w:w="5576" w:type="dxa"/>
                  <w:gridSpan w:val="4"/>
                  <w:vMerge/>
                  <w:tcBorders>
                    <w:left w:val="single" w:sz="4" w:space="0" w:color="BFBFBF" w:themeColor="background1" w:themeShade="BF"/>
                  </w:tcBorders>
                  <w:vAlign w:val="center"/>
                </w:tcPr>
                <w:p w14:paraId="753B5FA2" w14:textId="77777777" w:rsidR="00795B6E" w:rsidRPr="007F26D1" w:rsidRDefault="00795B6E">
                  <w:pPr>
                    <w:jc w:val="right"/>
                    <w:rPr>
                      <w:rFonts w:ascii="Arial" w:hAnsi="Arial" w:cs="Arial"/>
                      <w:sz w:val="20"/>
                      <w:szCs w:val="20"/>
                    </w:rPr>
                  </w:pPr>
                </w:p>
              </w:tc>
            </w:tr>
            <w:tr w:rsidR="00795B6E" w:rsidRPr="007F26D1" w14:paraId="53C284F0" w14:textId="77777777">
              <w:tc>
                <w:tcPr>
                  <w:tcW w:w="161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41ECEC85" w14:textId="77777777" w:rsidR="00795B6E" w:rsidRPr="00EF7CAA" w:rsidRDefault="00795B6E">
                  <w:pPr>
                    <w:jc w:val="center"/>
                    <w:rPr>
                      <w:rFonts w:ascii="Arial" w:hAnsi="Arial" w:cs="Arial"/>
                      <w:b/>
                      <w:color w:val="FFFFFF" w:themeColor="background1"/>
                      <w:sz w:val="18"/>
                      <w:szCs w:val="18"/>
                    </w:rPr>
                  </w:pPr>
                  <w:r w:rsidRPr="00EF7CAA">
                    <w:rPr>
                      <w:rFonts w:ascii="Arial" w:hAnsi="Arial" w:cs="Arial"/>
                      <w:b/>
                      <w:color w:val="FFFFFF" w:themeColor="background1"/>
                      <w:sz w:val="18"/>
                      <w:szCs w:val="18"/>
                    </w:rPr>
                    <w:t>110% of AMI</w:t>
                  </w:r>
                </w:p>
              </w:tc>
              <w:tc>
                <w:tcPr>
                  <w:tcW w:w="1534" w:type="dxa"/>
                  <w:tcBorders>
                    <w:top w:val="single" w:sz="4" w:space="0" w:color="404040" w:themeColor="text1" w:themeTint="BF"/>
                    <w:left w:val="single" w:sz="4" w:space="0" w:color="404040" w:themeColor="text1" w:themeTint="BF"/>
                    <w:bottom w:val="single" w:sz="4" w:space="0" w:color="404040" w:themeColor="text1" w:themeTint="BF"/>
                    <w:right w:val="single" w:sz="4" w:space="0" w:color="BFBFBF" w:themeColor="background1" w:themeShade="BF"/>
                  </w:tcBorders>
                  <w:vAlign w:val="center"/>
                </w:tcPr>
                <w:p w14:paraId="393A8548" w14:textId="77777777" w:rsidR="00795B6E" w:rsidRPr="00EF7CAA" w:rsidRDefault="00795B6E">
                  <w:pPr>
                    <w:ind w:right="161"/>
                    <w:jc w:val="center"/>
                    <w:rPr>
                      <w:rFonts w:ascii="Arial" w:hAnsi="Arial" w:cs="Arial"/>
                      <w:sz w:val="18"/>
                      <w:szCs w:val="18"/>
                    </w:rPr>
                  </w:pPr>
                  <w:r w:rsidRPr="00EF7CAA">
                    <w:rPr>
                      <w:rFonts w:ascii="Arial" w:hAnsi="Arial" w:cs="Arial"/>
                      <w:sz w:val="18"/>
                      <w:szCs w:val="18"/>
                    </w:rPr>
                    <w:t>120% of AMI</w:t>
                  </w:r>
                </w:p>
              </w:tc>
              <w:tc>
                <w:tcPr>
                  <w:tcW w:w="5576" w:type="dxa"/>
                  <w:gridSpan w:val="4"/>
                  <w:vMerge/>
                  <w:tcBorders>
                    <w:left w:val="single" w:sz="4" w:space="0" w:color="BFBFBF" w:themeColor="background1" w:themeShade="BF"/>
                  </w:tcBorders>
                  <w:vAlign w:val="bottom"/>
                </w:tcPr>
                <w:p w14:paraId="1517F945" w14:textId="77777777" w:rsidR="00795B6E" w:rsidRPr="007F26D1" w:rsidRDefault="00795B6E">
                  <w:pPr>
                    <w:jc w:val="right"/>
                    <w:rPr>
                      <w:rFonts w:ascii="Arial" w:hAnsi="Arial" w:cs="Arial"/>
                      <w:sz w:val="20"/>
                      <w:szCs w:val="20"/>
                    </w:rPr>
                  </w:pPr>
                </w:p>
              </w:tc>
            </w:tr>
            <w:tr w:rsidR="00795B6E" w:rsidRPr="007F26D1" w14:paraId="5F8BEEBF" w14:textId="77777777">
              <w:tc>
                <w:tcPr>
                  <w:tcW w:w="161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6872BFDB" w14:textId="77777777" w:rsidR="00795B6E" w:rsidRPr="00EF7CAA" w:rsidRDefault="00795B6E">
                  <w:pPr>
                    <w:jc w:val="center"/>
                    <w:rPr>
                      <w:rFonts w:ascii="Arial" w:hAnsi="Arial" w:cs="Arial"/>
                      <w:b/>
                      <w:color w:val="FFFFFF" w:themeColor="background1"/>
                      <w:sz w:val="18"/>
                      <w:szCs w:val="18"/>
                    </w:rPr>
                  </w:pPr>
                  <w:r w:rsidRPr="00EF7CAA">
                    <w:rPr>
                      <w:rFonts w:ascii="Arial" w:hAnsi="Arial" w:cs="Arial"/>
                      <w:b/>
                      <w:color w:val="FFFFFF" w:themeColor="background1"/>
                      <w:sz w:val="18"/>
                      <w:szCs w:val="18"/>
                    </w:rPr>
                    <w:t>120% of AMI</w:t>
                  </w:r>
                </w:p>
              </w:tc>
              <w:tc>
                <w:tcPr>
                  <w:tcW w:w="1534" w:type="dxa"/>
                  <w:tcBorders>
                    <w:top w:val="single" w:sz="4" w:space="0" w:color="404040" w:themeColor="text1" w:themeTint="BF"/>
                    <w:left w:val="single" w:sz="4" w:space="0" w:color="404040" w:themeColor="text1" w:themeTint="BF"/>
                    <w:bottom w:val="single" w:sz="4" w:space="0" w:color="BFBFBF" w:themeColor="background1" w:themeShade="BF"/>
                    <w:right w:val="single" w:sz="4" w:space="0" w:color="BFBFBF" w:themeColor="background1" w:themeShade="BF"/>
                  </w:tcBorders>
                  <w:vAlign w:val="center"/>
                </w:tcPr>
                <w:p w14:paraId="15371824" w14:textId="77777777" w:rsidR="00795B6E" w:rsidRPr="00EF7CAA" w:rsidRDefault="00795B6E">
                  <w:pPr>
                    <w:ind w:right="161"/>
                    <w:jc w:val="center"/>
                    <w:rPr>
                      <w:rFonts w:ascii="Arial" w:hAnsi="Arial" w:cs="Arial"/>
                      <w:sz w:val="18"/>
                      <w:szCs w:val="18"/>
                    </w:rPr>
                  </w:pPr>
                  <w:r w:rsidRPr="00EF7CAA">
                    <w:rPr>
                      <w:rFonts w:ascii="Arial" w:hAnsi="Arial" w:cs="Arial"/>
                      <w:sz w:val="18"/>
                      <w:szCs w:val="18"/>
                    </w:rPr>
                    <w:t>130% of AMI</w:t>
                  </w:r>
                </w:p>
              </w:tc>
              <w:tc>
                <w:tcPr>
                  <w:tcW w:w="5576" w:type="dxa"/>
                  <w:gridSpan w:val="4"/>
                  <w:vMerge/>
                  <w:tcBorders>
                    <w:left w:val="single" w:sz="4" w:space="0" w:color="BFBFBF" w:themeColor="background1" w:themeShade="BF"/>
                    <w:bottom w:val="single" w:sz="4" w:space="0" w:color="BFBFBF" w:themeColor="background1" w:themeShade="BF"/>
                  </w:tcBorders>
                  <w:vAlign w:val="bottom"/>
                </w:tcPr>
                <w:p w14:paraId="7DA5DFE9" w14:textId="77777777" w:rsidR="00795B6E" w:rsidRPr="007F26D1" w:rsidRDefault="00795B6E">
                  <w:pPr>
                    <w:jc w:val="right"/>
                    <w:rPr>
                      <w:rFonts w:ascii="Arial" w:hAnsi="Arial" w:cs="Arial"/>
                      <w:sz w:val="20"/>
                      <w:szCs w:val="20"/>
                    </w:rPr>
                  </w:pPr>
                </w:p>
              </w:tc>
            </w:tr>
            <w:tr w:rsidR="00795B6E" w:rsidRPr="007F26D1" w14:paraId="427C7D25" w14:textId="77777777" w:rsidTr="00795B6E">
              <w:trPr>
                <w:trHeight w:val="423"/>
              </w:trPr>
              <w:tc>
                <w:tcPr>
                  <w:tcW w:w="8725" w:type="dxa"/>
                  <w:gridSpan w:val="6"/>
                  <w:tcBorders>
                    <w:top w:val="single" w:sz="4" w:space="0" w:color="FFFFFF" w:themeColor="background1"/>
                    <w:bottom w:val="single" w:sz="4" w:space="0" w:color="FFFFFF" w:themeColor="background1"/>
                  </w:tcBorders>
                  <w:shd w:val="clear" w:color="auto" w:fill="7F7F7F" w:themeFill="text1" w:themeFillTint="80"/>
                </w:tcPr>
                <w:p w14:paraId="1652EE08" w14:textId="77777777" w:rsidR="00795B6E" w:rsidRPr="007F26D1" w:rsidRDefault="00795B6E">
                  <w:pPr>
                    <w:tabs>
                      <w:tab w:val="left" w:pos="8568"/>
                    </w:tabs>
                    <w:ind w:left="86" w:right="792"/>
                    <w:jc w:val="both"/>
                    <w:rPr>
                      <w:rFonts w:ascii="Arial" w:hAnsi="Arial" w:cs="Arial"/>
                      <w:i/>
                      <w:color w:val="FFFFFF" w:themeColor="background1"/>
                      <w:sz w:val="16"/>
                      <w:szCs w:val="16"/>
                    </w:rPr>
                  </w:pPr>
                  <w:r w:rsidRPr="007F26D1">
                    <w:rPr>
                      <w:rFonts w:ascii="Arial" w:hAnsi="Arial" w:cs="Arial"/>
                      <w:i/>
                      <w:color w:val="FFFFFF" w:themeColor="background1"/>
                      <w:sz w:val="16"/>
                      <w:szCs w:val="16"/>
                    </w:rPr>
                    <w:t xml:space="preserve">*Studio rents are sized based on a 0.6 Household Factor </w:t>
                  </w:r>
                </w:p>
                <w:p w14:paraId="068257D1" w14:textId="77777777" w:rsidR="00795B6E" w:rsidRPr="007F26D1" w:rsidRDefault="00795B6E">
                  <w:pPr>
                    <w:tabs>
                      <w:tab w:val="left" w:pos="8568"/>
                    </w:tabs>
                    <w:ind w:left="86" w:right="792"/>
                    <w:jc w:val="both"/>
                    <w:rPr>
                      <w:rFonts w:ascii="Arial" w:hAnsi="Arial" w:cs="Arial"/>
                      <w:i/>
                      <w:color w:val="FFFFFF" w:themeColor="background1"/>
                      <w:sz w:val="16"/>
                      <w:szCs w:val="16"/>
                    </w:rPr>
                  </w:pPr>
                  <w:r w:rsidRPr="007F26D1">
                    <w:rPr>
                      <w:rFonts w:ascii="Arial" w:hAnsi="Arial" w:cs="Arial"/>
                      <w:i/>
                      <w:color w:val="FFFFFF" w:themeColor="background1"/>
                      <w:sz w:val="16"/>
                      <w:szCs w:val="16"/>
                    </w:rPr>
                    <w:t>**OurSpace units are underwritten at Shelter Rent Allowance and have income limits to 40% AMI</w:t>
                  </w:r>
                </w:p>
                <w:p w14:paraId="516F9529" w14:textId="77777777" w:rsidR="00795B6E" w:rsidRPr="007F26D1" w:rsidRDefault="00795B6E">
                  <w:pPr>
                    <w:tabs>
                      <w:tab w:val="left" w:pos="8568"/>
                    </w:tabs>
                    <w:ind w:left="86" w:right="792"/>
                    <w:jc w:val="both"/>
                    <w:rPr>
                      <w:rFonts w:ascii="Arial" w:hAnsi="Arial" w:cs="Arial"/>
                      <w:i/>
                      <w:color w:val="FFFFFF" w:themeColor="background1"/>
                      <w:sz w:val="16"/>
                      <w:szCs w:val="16"/>
                    </w:rPr>
                  </w:pPr>
                  <w:r w:rsidRPr="007F26D1">
                    <w:rPr>
                      <w:rFonts w:ascii="Arial" w:hAnsi="Arial" w:cs="Arial"/>
                      <w:i/>
                      <w:color w:val="FFFFFF" w:themeColor="background1"/>
                      <w:sz w:val="16"/>
                      <w:szCs w:val="16"/>
                      <w:vertAlign w:val="superscript"/>
                    </w:rPr>
                    <w:t>†</w:t>
                  </w:r>
                  <w:r>
                    <w:rPr>
                      <w:rFonts w:ascii="Arial" w:hAnsi="Arial" w:cs="Arial"/>
                      <w:i/>
                      <w:color w:val="FFFFFF" w:themeColor="background1"/>
                      <w:sz w:val="16"/>
                      <w:szCs w:val="16"/>
                    </w:rPr>
                    <w:t>HPD may consider and approve higher income limits by request.</w:t>
                  </w:r>
                </w:p>
                <w:p w14:paraId="40BA347D" w14:textId="77777777" w:rsidR="00795B6E" w:rsidRPr="007F26D1" w:rsidRDefault="00795B6E">
                  <w:pPr>
                    <w:tabs>
                      <w:tab w:val="left" w:pos="8568"/>
                    </w:tabs>
                    <w:ind w:left="86" w:right="792"/>
                    <w:jc w:val="both"/>
                    <w:rPr>
                      <w:rFonts w:ascii="Arial" w:hAnsi="Arial" w:cs="Arial"/>
                      <w:color w:val="FFFFFF" w:themeColor="background1"/>
                      <w:sz w:val="20"/>
                      <w:szCs w:val="20"/>
                    </w:rPr>
                  </w:pPr>
                  <w:r w:rsidRPr="007F26D1">
                    <w:rPr>
                      <w:rFonts w:ascii="Arial" w:hAnsi="Arial" w:cs="Arial"/>
                      <w:i/>
                      <w:color w:val="FFFFFF" w:themeColor="background1"/>
                      <w:sz w:val="16"/>
                      <w:szCs w:val="16"/>
                      <w:vertAlign w:val="superscript"/>
                    </w:rPr>
                    <w:t>††</w:t>
                  </w:r>
                  <w:r w:rsidRPr="007F26D1">
                    <w:rPr>
                      <w:rFonts w:ascii="Arial" w:hAnsi="Arial" w:cs="Arial"/>
                      <w:i/>
                      <w:color w:val="FFFFFF" w:themeColor="background1"/>
                      <w:sz w:val="16"/>
                      <w:szCs w:val="16"/>
                    </w:rPr>
                    <w:t xml:space="preserve">The highest underwritten rent level must be at least 20% below market </w:t>
                  </w:r>
                  <w:proofErr w:type="spellStart"/>
                  <w:r w:rsidRPr="007F26D1">
                    <w:rPr>
                      <w:rFonts w:ascii="Arial" w:hAnsi="Arial" w:cs="Arial"/>
                      <w:i/>
                      <w:color w:val="FFFFFF" w:themeColor="background1"/>
                      <w:sz w:val="16"/>
                      <w:szCs w:val="16"/>
                    </w:rPr>
                    <w:t>comparables</w:t>
                  </w:r>
                  <w:proofErr w:type="spellEnd"/>
                  <w:r w:rsidRPr="007F26D1">
                    <w:rPr>
                      <w:rFonts w:ascii="Arial" w:hAnsi="Arial" w:cs="Arial"/>
                      <w:i/>
                      <w:color w:val="FFFFFF" w:themeColor="background1"/>
                      <w:sz w:val="16"/>
                      <w:szCs w:val="16"/>
                    </w:rPr>
                    <w:t xml:space="preserve"> determined by an appraisal or market study and acceptable to HPD.</w:t>
                  </w:r>
                </w:p>
              </w:tc>
            </w:tr>
          </w:tbl>
          <w:p w14:paraId="3CD9D733" w14:textId="77777777" w:rsidR="00795B6E" w:rsidRPr="007F26D1" w:rsidRDefault="00795B6E">
            <w:pPr>
              <w:pStyle w:val="BodyText3"/>
              <w:spacing w:after="0"/>
              <w:jc w:val="both"/>
              <w:rPr>
                <w:rFonts w:ascii="Arial" w:hAnsi="Arial" w:cs="Arial"/>
                <w:sz w:val="20"/>
                <w:szCs w:val="20"/>
              </w:rPr>
            </w:pPr>
          </w:p>
        </w:tc>
      </w:tr>
      <w:tr w:rsidR="00795B6E" w:rsidRPr="007F26D1" w14:paraId="6C7EB56F" w14:textId="77777777" w:rsidTr="34030362">
        <w:tblPrEx>
          <w:tblBorders>
            <w:top w:val="dotted" w:sz="4" w:space="0" w:color="auto"/>
            <w:bottom w:val="dotted" w:sz="4" w:space="0" w:color="auto"/>
          </w:tblBorders>
        </w:tblPrEx>
        <w:trPr>
          <w:gridAfter w:val="1"/>
          <w:wAfter w:w="18" w:type="dxa"/>
        </w:trPr>
        <w:tc>
          <w:tcPr>
            <w:tcW w:w="1602" w:type="dxa"/>
            <w:tcBorders>
              <w:top w:val="dotted" w:sz="4" w:space="0" w:color="auto"/>
              <w:bottom w:val="dotted" w:sz="4" w:space="0" w:color="auto"/>
            </w:tcBorders>
          </w:tcPr>
          <w:p w14:paraId="7C95E464" w14:textId="77777777" w:rsidR="00795B6E" w:rsidRPr="007F26D1" w:rsidRDefault="00795B6E">
            <w:pPr>
              <w:rPr>
                <w:rFonts w:ascii="Arial" w:hAnsi="Arial" w:cs="Arial"/>
                <w:b/>
                <w:sz w:val="20"/>
                <w:szCs w:val="20"/>
              </w:rPr>
            </w:pPr>
            <w:r w:rsidRPr="007F26D1">
              <w:rPr>
                <w:rFonts w:ascii="Arial" w:hAnsi="Arial" w:cs="Arial"/>
                <w:b/>
                <w:sz w:val="20"/>
                <w:szCs w:val="20"/>
              </w:rPr>
              <w:t>OurSpace Units for Formerly Homeless Households</w:t>
            </w:r>
          </w:p>
        </w:tc>
        <w:tc>
          <w:tcPr>
            <w:tcW w:w="9000" w:type="dxa"/>
            <w:tcBorders>
              <w:top w:val="dotted" w:sz="4" w:space="0" w:color="auto"/>
              <w:bottom w:val="dotted" w:sz="4" w:space="0" w:color="auto"/>
            </w:tcBorders>
          </w:tcPr>
          <w:p w14:paraId="1D67CB23" w14:textId="77777777" w:rsidR="00795B6E" w:rsidRDefault="00795B6E">
            <w:pPr>
              <w:pStyle w:val="Header"/>
              <w:tabs>
                <w:tab w:val="clear" w:pos="4320"/>
                <w:tab w:val="clear" w:pos="8640"/>
              </w:tabs>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t xml:space="preserve">At least 15% of total units must be reserved for </w:t>
            </w:r>
            <w:r>
              <w:rPr>
                <w:rFonts w:ascii="Arial" w:hAnsi="Arial" w:cs="Arial"/>
                <w:sz w:val="20"/>
                <w:szCs w:val="20"/>
              </w:rPr>
              <w:t xml:space="preserve">formerly </w:t>
            </w:r>
            <w:r w:rsidRPr="007F26D1">
              <w:rPr>
                <w:rFonts w:ascii="Arial" w:hAnsi="Arial" w:cs="Arial"/>
                <w:sz w:val="20"/>
                <w:szCs w:val="20"/>
              </w:rPr>
              <w:t>homeless individuals or families who reside in shelter facilities operated by or on behalf of the City</w:t>
            </w:r>
            <w:r>
              <w:rPr>
                <w:rFonts w:ascii="Arial" w:hAnsi="Arial" w:cs="Arial"/>
                <w:sz w:val="20"/>
                <w:szCs w:val="20"/>
              </w:rPr>
              <w:t>,</w:t>
            </w:r>
            <w:r w:rsidRPr="007F26D1">
              <w:rPr>
                <w:rFonts w:ascii="Arial" w:hAnsi="Arial" w:cs="Arial"/>
                <w:sz w:val="20"/>
                <w:szCs w:val="20"/>
              </w:rPr>
              <w:t xml:space="preserve"> or </w:t>
            </w:r>
            <w:r>
              <w:rPr>
                <w:rFonts w:ascii="Arial" w:hAnsi="Arial" w:cs="Arial"/>
                <w:sz w:val="20"/>
                <w:szCs w:val="20"/>
              </w:rPr>
              <w:t xml:space="preserve">who </w:t>
            </w:r>
            <w:r w:rsidRPr="007F26D1">
              <w:rPr>
                <w:rFonts w:ascii="Arial" w:hAnsi="Arial" w:cs="Arial"/>
                <w:sz w:val="20"/>
                <w:szCs w:val="20"/>
              </w:rPr>
              <w:t xml:space="preserve">are otherwise in need of emergency shelter as determined by the City. </w:t>
            </w:r>
            <w:r>
              <w:rPr>
                <w:rFonts w:ascii="Arial" w:hAnsi="Arial" w:cs="Arial"/>
                <w:sz w:val="20"/>
                <w:szCs w:val="20"/>
              </w:rPr>
              <w:t xml:space="preserve">Such units will be underwritten at Shelter Rents (see Table 1), and  </w:t>
            </w:r>
            <w:r w:rsidRPr="007F26D1">
              <w:rPr>
                <w:rFonts w:ascii="Arial" w:hAnsi="Arial" w:cs="Arial"/>
                <w:sz w:val="20"/>
                <w:szCs w:val="20"/>
              </w:rPr>
              <w:t xml:space="preserve">are known as OurSpace </w:t>
            </w:r>
            <w:r>
              <w:rPr>
                <w:rFonts w:ascii="Arial" w:hAnsi="Arial" w:cs="Arial"/>
                <w:sz w:val="20"/>
                <w:szCs w:val="20"/>
              </w:rPr>
              <w:t>U</w:t>
            </w:r>
            <w:r w:rsidRPr="007F26D1">
              <w:rPr>
                <w:rFonts w:ascii="Arial" w:hAnsi="Arial" w:cs="Arial"/>
                <w:sz w:val="20"/>
                <w:szCs w:val="20"/>
              </w:rPr>
              <w:t xml:space="preserve">nits. </w:t>
            </w:r>
            <w:r>
              <w:rPr>
                <w:rFonts w:ascii="Arial" w:hAnsi="Arial" w:cs="Arial"/>
                <w:sz w:val="20"/>
                <w:szCs w:val="20"/>
              </w:rPr>
              <w:t xml:space="preserve">OurSpace </w:t>
            </w:r>
            <w:r w:rsidRPr="007F26D1">
              <w:rPr>
                <w:rFonts w:ascii="Arial" w:hAnsi="Arial" w:cs="Arial"/>
                <w:sz w:val="20"/>
                <w:szCs w:val="20"/>
              </w:rPr>
              <w:t xml:space="preserve">homeless referrals </w:t>
            </w:r>
            <w:r>
              <w:rPr>
                <w:rFonts w:ascii="Arial" w:hAnsi="Arial" w:cs="Arial"/>
                <w:sz w:val="20"/>
                <w:szCs w:val="20"/>
              </w:rPr>
              <w:t xml:space="preserve">must </w:t>
            </w:r>
            <w:r w:rsidRPr="007F26D1">
              <w:rPr>
                <w:rFonts w:ascii="Arial" w:hAnsi="Arial" w:cs="Arial"/>
                <w:sz w:val="20"/>
                <w:szCs w:val="20"/>
              </w:rPr>
              <w:t xml:space="preserve">come </w:t>
            </w:r>
            <w:r>
              <w:rPr>
                <w:rFonts w:ascii="Arial" w:hAnsi="Arial" w:cs="Arial"/>
                <w:sz w:val="20"/>
                <w:szCs w:val="20"/>
              </w:rPr>
              <w:t>through</w:t>
            </w:r>
            <w:r w:rsidRPr="007F26D1">
              <w:rPr>
                <w:rFonts w:ascii="Arial" w:hAnsi="Arial" w:cs="Arial"/>
                <w:sz w:val="20"/>
                <w:szCs w:val="20"/>
              </w:rPr>
              <w:t xml:space="preserve"> the New York City Department of Homeless Services (DHS), HPD, or an alternate referral source acceptable to HPD. The unit and bedroom distribution for homeless units must be approved by HPD.</w:t>
            </w:r>
          </w:p>
          <w:p w14:paraId="31E8CC77" w14:textId="77777777" w:rsidR="00795B6E" w:rsidRDefault="00795B6E">
            <w:pPr>
              <w:pStyle w:val="Header"/>
              <w:tabs>
                <w:tab w:val="clear" w:pos="4320"/>
                <w:tab w:val="clear" w:pos="8640"/>
              </w:tabs>
              <w:overflowPunct w:val="0"/>
              <w:autoSpaceDE w:val="0"/>
              <w:autoSpaceDN w:val="0"/>
              <w:adjustRightInd w:val="0"/>
              <w:jc w:val="both"/>
              <w:textAlignment w:val="baseline"/>
              <w:rPr>
                <w:rFonts w:ascii="Arial" w:hAnsi="Arial" w:cs="Arial"/>
                <w:sz w:val="20"/>
                <w:szCs w:val="20"/>
              </w:rPr>
            </w:pPr>
          </w:p>
          <w:p w14:paraId="4AF8C766" w14:textId="77777777" w:rsidR="00795B6E" w:rsidRDefault="00795B6E">
            <w:pPr>
              <w:pStyle w:val="Header"/>
              <w:tabs>
                <w:tab w:val="clear" w:pos="4320"/>
                <w:tab w:val="clear" w:pos="8640"/>
              </w:tabs>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Sponsors shall be required to provide social</w:t>
            </w:r>
            <w:r w:rsidRPr="007F26D1">
              <w:rPr>
                <w:rFonts w:ascii="Arial" w:hAnsi="Arial" w:cs="Arial"/>
                <w:sz w:val="20"/>
                <w:szCs w:val="20"/>
              </w:rPr>
              <w:t xml:space="preserve"> services for OurSpace units using a service provider </w:t>
            </w:r>
            <w:r>
              <w:rPr>
                <w:rFonts w:ascii="Arial" w:hAnsi="Arial" w:cs="Arial"/>
                <w:sz w:val="20"/>
                <w:szCs w:val="20"/>
              </w:rPr>
              <w:t xml:space="preserve">approved by HPD (see </w:t>
            </w:r>
            <w:hyperlink r:id="rId12" w:history="1">
              <w:r w:rsidRPr="007F26D1">
                <w:rPr>
                  <w:rStyle w:val="Hyperlink"/>
                  <w:rFonts w:ascii="Arial" w:hAnsi="Arial" w:cs="Arial"/>
                  <w:sz w:val="20"/>
                  <w:szCs w:val="20"/>
                </w:rPr>
                <w:t>HPD’s qualifie</w:t>
              </w:r>
              <w:r w:rsidRPr="007F26D1">
                <w:rPr>
                  <w:rStyle w:val="Hyperlink"/>
                  <w:rFonts w:ascii="Arial" w:hAnsi="Arial" w:cs="Arial"/>
                  <w:sz w:val="20"/>
                  <w:szCs w:val="20"/>
                </w:rPr>
                <w:t>d</w:t>
              </w:r>
              <w:r w:rsidRPr="007F26D1">
                <w:rPr>
                  <w:rStyle w:val="Hyperlink"/>
                  <w:rFonts w:ascii="Arial" w:hAnsi="Arial" w:cs="Arial"/>
                  <w:sz w:val="20"/>
                  <w:szCs w:val="20"/>
                </w:rPr>
                <w:t xml:space="preserve"> list</w:t>
              </w:r>
            </w:hyperlink>
            <w:r>
              <w:rPr>
                <w:rFonts w:ascii="Arial" w:hAnsi="Arial" w:cs="Arial"/>
                <w:sz w:val="20"/>
                <w:szCs w:val="20"/>
              </w:rPr>
              <w:t xml:space="preserve">).  </w:t>
            </w:r>
            <w:r w:rsidRPr="007F26D1">
              <w:rPr>
                <w:rFonts w:ascii="Arial" w:hAnsi="Arial" w:cs="Arial"/>
                <w:sz w:val="20"/>
                <w:szCs w:val="20"/>
              </w:rPr>
              <w:t xml:space="preserve">All projects must submit a </w:t>
            </w:r>
            <w:r w:rsidRPr="00C90CF6">
              <w:rPr>
                <w:rFonts w:ascii="Arial" w:hAnsi="Arial" w:cs="Arial"/>
                <w:bCs/>
                <w:sz w:val="20"/>
                <w:szCs w:val="20"/>
              </w:rPr>
              <w:t>social services plan and budget</w:t>
            </w:r>
            <w:r>
              <w:rPr>
                <w:rFonts w:ascii="Arial" w:hAnsi="Arial" w:cs="Arial"/>
                <w:sz w:val="20"/>
                <w:szCs w:val="20"/>
              </w:rPr>
              <w:t xml:space="preserve"> to </w:t>
            </w:r>
            <w:r w:rsidRPr="007F26D1">
              <w:rPr>
                <w:rFonts w:ascii="Arial" w:hAnsi="Arial" w:cs="Arial"/>
                <w:sz w:val="20"/>
                <w:szCs w:val="20"/>
              </w:rPr>
              <w:t xml:space="preserve">HPD </w:t>
            </w:r>
            <w:r>
              <w:rPr>
                <w:rFonts w:ascii="Arial" w:hAnsi="Arial" w:cs="Arial"/>
                <w:sz w:val="20"/>
                <w:szCs w:val="20"/>
              </w:rPr>
              <w:t xml:space="preserve">for </w:t>
            </w:r>
            <w:r w:rsidRPr="007F26D1">
              <w:rPr>
                <w:rFonts w:ascii="Arial" w:hAnsi="Arial" w:cs="Arial"/>
                <w:sz w:val="20"/>
                <w:szCs w:val="20"/>
              </w:rPr>
              <w:t>approval prior to marketing and lease-up of the homeless units.</w:t>
            </w:r>
            <w:r w:rsidRPr="007F26D1" w:rsidDel="003B5601">
              <w:rPr>
                <w:rFonts w:ascii="Arial" w:hAnsi="Arial" w:cs="Arial"/>
                <w:sz w:val="20"/>
                <w:szCs w:val="20"/>
              </w:rPr>
              <w:t xml:space="preserve"> </w:t>
            </w:r>
            <w:r>
              <w:rPr>
                <w:rFonts w:ascii="Arial" w:hAnsi="Arial" w:cs="Arial"/>
                <w:sz w:val="20"/>
                <w:szCs w:val="20"/>
              </w:rPr>
              <w:t xml:space="preserve">Projects must capitalize a reserve equal to $7,500 per homeless unit in the project budget </w:t>
            </w:r>
            <w:r w:rsidRPr="007F26D1">
              <w:rPr>
                <w:rFonts w:ascii="Arial" w:hAnsi="Arial" w:cs="Arial"/>
                <w:sz w:val="20"/>
                <w:szCs w:val="20"/>
              </w:rPr>
              <w:t>to fund the approved social service plan at initial lease-up.</w:t>
            </w:r>
            <w:r>
              <w:rPr>
                <w:rFonts w:ascii="Arial" w:hAnsi="Arial" w:cs="Arial"/>
                <w:sz w:val="20"/>
                <w:szCs w:val="20"/>
              </w:rPr>
              <w:t xml:space="preserve">  Sponsors shall be required to furnish homeless units in a manner satisfactory to HPD. </w:t>
            </w:r>
            <w:r w:rsidRPr="007F26D1">
              <w:rPr>
                <w:rFonts w:ascii="Arial" w:hAnsi="Arial" w:cs="Arial"/>
                <w:sz w:val="20"/>
                <w:szCs w:val="20"/>
              </w:rPr>
              <w:t xml:space="preserve"> </w:t>
            </w:r>
            <w:r>
              <w:rPr>
                <w:rFonts w:ascii="Arial" w:hAnsi="Arial" w:cs="Arial"/>
                <w:sz w:val="20"/>
                <w:szCs w:val="20"/>
              </w:rPr>
              <w:t>Projects shall capitalize in the budget a homeless furnishings reserve equal to</w:t>
            </w:r>
            <w:r w:rsidRPr="007F26D1">
              <w:rPr>
                <w:rFonts w:ascii="Arial" w:hAnsi="Arial" w:cs="Arial"/>
                <w:sz w:val="20"/>
                <w:szCs w:val="20"/>
              </w:rPr>
              <w:t xml:space="preserve"> $2,000 per homeless studio unit, </w:t>
            </w:r>
            <w:r>
              <w:rPr>
                <w:rFonts w:ascii="Arial" w:hAnsi="Arial" w:cs="Arial"/>
                <w:sz w:val="20"/>
                <w:szCs w:val="20"/>
              </w:rPr>
              <w:t>and</w:t>
            </w:r>
            <w:r w:rsidRPr="007F26D1">
              <w:rPr>
                <w:rFonts w:ascii="Arial" w:hAnsi="Arial" w:cs="Arial"/>
                <w:sz w:val="20"/>
                <w:szCs w:val="20"/>
              </w:rPr>
              <w:t xml:space="preserve"> $3,000 </w:t>
            </w:r>
            <w:r>
              <w:rPr>
                <w:rFonts w:ascii="Arial" w:hAnsi="Arial" w:cs="Arial"/>
                <w:sz w:val="20"/>
                <w:szCs w:val="20"/>
              </w:rPr>
              <w:t>per</w:t>
            </w:r>
            <w:r w:rsidRPr="007F26D1">
              <w:rPr>
                <w:rFonts w:ascii="Arial" w:hAnsi="Arial" w:cs="Arial"/>
                <w:sz w:val="20"/>
                <w:szCs w:val="20"/>
              </w:rPr>
              <w:t xml:space="preserve"> homeless </w:t>
            </w:r>
            <w:r>
              <w:rPr>
                <w:rFonts w:ascii="Arial" w:hAnsi="Arial" w:cs="Arial"/>
                <w:sz w:val="20"/>
                <w:szCs w:val="20"/>
              </w:rPr>
              <w:t xml:space="preserve">one-, two-, or three-bedroom </w:t>
            </w:r>
            <w:r w:rsidRPr="007F26D1">
              <w:rPr>
                <w:rFonts w:ascii="Arial" w:hAnsi="Arial" w:cs="Arial"/>
                <w:sz w:val="20"/>
                <w:szCs w:val="20"/>
              </w:rPr>
              <w:t>unit</w:t>
            </w:r>
            <w:r>
              <w:rPr>
                <w:rFonts w:ascii="Arial" w:hAnsi="Arial" w:cs="Arial"/>
                <w:sz w:val="20"/>
                <w:szCs w:val="20"/>
              </w:rPr>
              <w:t xml:space="preserve">.  Any unspent balance from the capitalized social services and homeless furnishings budgets shall be deposited into an </w:t>
            </w:r>
            <w:r w:rsidRPr="00033270">
              <w:rPr>
                <w:rFonts w:ascii="Arial" w:hAnsi="Arial" w:cs="Arial"/>
                <w:b/>
                <w:bCs/>
                <w:sz w:val="20"/>
                <w:szCs w:val="20"/>
              </w:rPr>
              <w:t>OurSpace Reserve</w:t>
            </w:r>
            <w:r>
              <w:rPr>
                <w:rFonts w:ascii="Arial" w:hAnsi="Arial" w:cs="Arial"/>
                <w:sz w:val="20"/>
                <w:szCs w:val="20"/>
              </w:rPr>
              <w:t xml:space="preserve"> at conversion.</w:t>
            </w:r>
          </w:p>
          <w:p w14:paraId="4506698C" w14:textId="77777777" w:rsidR="00795B6E" w:rsidRDefault="00795B6E">
            <w:pPr>
              <w:pStyle w:val="Header"/>
              <w:tabs>
                <w:tab w:val="clear" w:pos="4320"/>
                <w:tab w:val="clear" w:pos="8640"/>
              </w:tabs>
              <w:overflowPunct w:val="0"/>
              <w:autoSpaceDE w:val="0"/>
              <w:autoSpaceDN w:val="0"/>
              <w:adjustRightInd w:val="0"/>
              <w:jc w:val="both"/>
              <w:textAlignment w:val="baseline"/>
              <w:rPr>
                <w:rFonts w:ascii="Arial" w:hAnsi="Arial" w:cs="Arial"/>
                <w:sz w:val="20"/>
                <w:szCs w:val="20"/>
              </w:rPr>
            </w:pPr>
          </w:p>
          <w:p w14:paraId="220C035E" w14:textId="77777777" w:rsidR="00795B6E" w:rsidRDefault="00795B6E">
            <w:pPr>
              <w:pStyle w:val="Header"/>
              <w:tabs>
                <w:tab w:val="clear" w:pos="4320"/>
                <w:tab w:val="clear" w:pos="8640"/>
              </w:tabs>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t xml:space="preserve">HPD </w:t>
            </w:r>
            <w:r>
              <w:rPr>
                <w:rFonts w:ascii="Arial" w:hAnsi="Arial" w:cs="Arial"/>
                <w:sz w:val="20"/>
                <w:szCs w:val="20"/>
              </w:rPr>
              <w:t>shall</w:t>
            </w:r>
            <w:r w:rsidRPr="007F26D1">
              <w:rPr>
                <w:rFonts w:ascii="Arial" w:hAnsi="Arial" w:cs="Arial"/>
                <w:sz w:val="20"/>
                <w:szCs w:val="20"/>
              </w:rPr>
              <w:t xml:space="preserve"> require 100% of rental income received from tenant-based rental assistance above the underwritten rent (Shelter Rent after accounting for RGB increases) to be swept </w:t>
            </w:r>
            <w:r>
              <w:rPr>
                <w:rFonts w:ascii="Arial" w:hAnsi="Arial" w:cs="Arial"/>
                <w:sz w:val="20"/>
                <w:szCs w:val="20"/>
              </w:rPr>
              <w:t xml:space="preserve">on an annual basis </w:t>
            </w:r>
            <w:r w:rsidRPr="007F26D1">
              <w:rPr>
                <w:rFonts w:ascii="Arial" w:hAnsi="Arial" w:cs="Arial"/>
                <w:sz w:val="20"/>
                <w:szCs w:val="20"/>
              </w:rPr>
              <w:t xml:space="preserve">to the benefit of project. The </w:t>
            </w:r>
            <w:r>
              <w:rPr>
                <w:rFonts w:ascii="Arial" w:hAnsi="Arial" w:cs="Arial"/>
                <w:sz w:val="20"/>
                <w:szCs w:val="20"/>
              </w:rPr>
              <w:t>cash flow</w:t>
            </w:r>
            <w:r w:rsidRPr="007F26D1">
              <w:rPr>
                <w:rFonts w:ascii="Arial" w:hAnsi="Arial" w:cs="Arial"/>
                <w:sz w:val="20"/>
                <w:szCs w:val="20"/>
              </w:rPr>
              <w:t xml:space="preserve"> that is swept will first be used to fund the OurSpace </w:t>
            </w:r>
            <w:r>
              <w:rPr>
                <w:rFonts w:ascii="Arial" w:hAnsi="Arial" w:cs="Arial"/>
                <w:sz w:val="20"/>
                <w:szCs w:val="20"/>
              </w:rPr>
              <w:t>R</w:t>
            </w:r>
            <w:r w:rsidRPr="007F26D1">
              <w:rPr>
                <w:rFonts w:ascii="Arial" w:hAnsi="Arial" w:cs="Arial"/>
                <w:sz w:val="20"/>
                <w:szCs w:val="20"/>
              </w:rPr>
              <w:t xml:space="preserve">eserve </w:t>
            </w:r>
            <w:r w:rsidRPr="007F26D1">
              <w:rPr>
                <w:rFonts w:ascii="Arial" w:hAnsi="Arial" w:cs="Arial"/>
                <w:sz w:val="20"/>
                <w:szCs w:val="20"/>
              </w:rPr>
              <w:lastRenderedPageBreak/>
              <w:t xml:space="preserve">account to a balance equal to $15,000 per OurSpace </w:t>
            </w:r>
            <w:r>
              <w:rPr>
                <w:rFonts w:ascii="Arial" w:hAnsi="Arial" w:cs="Arial"/>
                <w:sz w:val="20"/>
                <w:szCs w:val="20"/>
              </w:rPr>
              <w:t>u</w:t>
            </w:r>
            <w:r w:rsidRPr="007F26D1">
              <w:rPr>
                <w:rFonts w:ascii="Arial" w:hAnsi="Arial" w:cs="Arial"/>
                <w:sz w:val="20"/>
                <w:szCs w:val="20"/>
              </w:rPr>
              <w:t xml:space="preserve">nit. The OurSpace </w:t>
            </w:r>
            <w:r>
              <w:rPr>
                <w:rFonts w:ascii="Arial" w:hAnsi="Arial" w:cs="Arial"/>
                <w:sz w:val="20"/>
                <w:szCs w:val="20"/>
              </w:rPr>
              <w:t>R</w:t>
            </w:r>
            <w:r w:rsidRPr="007F26D1">
              <w:rPr>
                <w:rFonts w:ascii="Arial" w:hAnsi="Arial" w:cs="Arial"/>
                <w:sz w:val="20"/>
                <w:szCs w:val="20"/>
              </w:rPr>
              <w:t>eserve</w:t>
            </w:r>
            <w:r>
              <w:rPr>
                <w:rFonts w:ascii="Arial" w:hAnsi="Arial" w:cs="Arial"/>
                <w:sz w:val="20"/>
                <w:szCs w:val="20"/>
              </w:rPr>
              <w:t xml:space="preserve"> may be drawn upon to administer social services and provide homeless furnishings during the Regulatory term.  </w:t>
            </w:r>
            <w:r w:rsidRPr="007F26D1">
              <w:rPr>
                <w:rFonts w:ascii="Arial" w:hAnsi="Arial" w:cs="Arial"/>
                <w:sz w:val="20"/>
                <w:szCs w:val="20"/>
              </w:rPr>
              <w:t xml:space="preserve">Any excess cash flow </w:t>
            </w:r>
            <w:r>
              <w:rPr>
                <w:rFonts w:ascii="Arial" w:hAnsi="Arial" w:cs="Arial"/>
                <w:sz w:val="20"/>
                <w:szCs w:val="20"/>
              </w:rPr>
              <w:t>after funding the reserve shall either fund project reserves or</w:t>
            </w:r>
            <w:r w:rsidRPr="007F26D1">
              <w:rPr>
                <w:rFonts w:ascii="Arial" w:hAnsi="Arial" w:cs="Arial"/>
                <w:sz w:val="20"/>
                <w:szCs w:val="20"/>
              </w:rPr>
              <w:t xml:space="preserve"> repay the </w:t>
            </w:r>
            <w:r>
              <w:rPr>
                <w:rFonts w:ascii="Arial" w:hAnsi="Arial" w:cs="Arial"/>
                <w:sz w:val="20"/>
                <w:szCs w:val="20"/>
              </w:rPr>
              <w:t xml:space="preserve">HPD </w:t>
            </w:r>
            <w:r w:rsidRPr="007F26D1">
              <w:rPr>
                <w:rFonts w:ascii="Arial" w:hAnsi="Arial" w:cs="Arial"/>
                <w:sz w:val="20"/>
                <w:szCs w:val="20"/>
              </w:rPr>
              <w:t>subsidy loans</w:t>
            </w:r>
            <w:r>
              <w:rPr>
                <w:rFonts w:ascii="Arial" w:hAnsi="Arial" w:cs="Arial"/>
                <w:sz w:val="20"/>
                <w:szCs w:val="20"/>
              </w:rPr>
              <w:t>, as required by HPD</w:t>
            </w:r>
            <w:r w:rsidRPr="007F26D1">
              <w:rPr>
                <w:rFonts w:ascii="Arial" w:hAnsi="Arial" w:cs="Arial"/>
                <w:sz w:val="20"/>
                <w:szCs w:val="20"/>
              </w:rPr>
              <w:t xml:space="preserve">. </w:t>
            </w:r>
          </w:p>
          <w:p w14:paraId="41E9E904" w14:textId="77777777" w:rsidR="00795B6E" w:rsidRDefault="00795B6E">
            <w:pPr>
              <w:pStyle w:val="Header"/>
              <w:tabs>
                <w:tab w:val="clear" w:pos="4320"/>
                <w:tab w:val="clear" w:pos="8640"/>
              </w:tabs>
              <w:overflowPunct w:val="0"/>
              <w:autoSpaceDE w:val="0"/>
              <w:autoSpaceDN w:val="0"/>
              <w:adjustRightInd w:val="0"/>
              <w:jc w:val="both"/>
              <w:textAlignment w:val="baseline"/>
              <w:rPr>
                <w:rFonts w:ascii="Arial" w:hAnsi="Arial" w:cs="Arial"/>
                <w:sz w:val="20"/>
                <w:szCs w:val="20"/>
              </w:rPr>
            </w:pPr>
          </w:p>
          <w:p w14:paraId="459D1D50" w14:textId="77777777" w:rsidR="00795B6E" w:rsidRPr="007F26D1" w:rsidRDefault="00795B6E">
            <w:pPr>
              <w:pStyle w:val="Header"/>
              <w:tabs>
                <w:tab w:val="clear" w:pos="4320"/>
                <w:tab w:val="clear" w:pos="8640"/>
              </w:tabs>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The above terms may be altered for projects receiving supportive services awards or project-based rental assistance, as determined by HPD.</w:t>
            </w:r>
          </w:p>
          <w:p w14:paraId="377A5E41" w14:textId="77777777" w:rsidR="00795B6E" w:rsidRPr="007F26D1" w:rsidRDefault="00795B6E">
            <w:pPr>
              <w:pStyle w:val="Header"/>
              <w:tabs>
                <w:tab w:val="clear" w:pos="4320"/>
                <w:tab w:val="clear" w:pos="8640"/>
              </w:tabs>
              <w:overflowPunct w:val="0"/>
              <w:autoSpaceDE w:val="0"/>
              <w:autoSpaceDN w:val="0"/>
              <w:adjustRightInd w:val="0"/>
              <w:jc w:val="both"/>
              <w:textAlignment w:val="baseline"/>
              <w:rPr>
                <w:rFonts w:ascii="Arial" w:hAnsi="Arial" w:cs="Arial"/>
                <w:sz w:val="20"/>
                <w:szCs w:val="20"/>
              </w:rPr>
            </w:pPr>
          </w:p>
        </w:tc>
      </w:tr>
      <w:tr w:rsidR="004B3044" w:rsidRPr="007F26D1" w14:paraId="5DB7DD1E" w14:textId="77777777" w:rsidTr="34030362">
        <w:trPr>
          <w:trHeight w:val="3159"/>
        </w:trPr>
        <w:tc>
          <w:tcPr>
            <w:tcW w:w="1602" w:type="dxa"/>
          </w:tcPr>
          <w:p w14:paraId="36FD52C5" w14:textId="77777777" w:rsidR="004B3044" w:rsidRPr="007F26D1" w:rsidRDefault="004B3044">
            <w:pPr>
              <w:rPr>
                <w:rFonts w:ascii="Arial" w:hAnsi="Arial" w:cs="Arial"/>
                <w:b/>
                <w:sz w:val="20"/>
                <w:szCs w:val="20"/>
              </w:rPr>
            </w:pPr>
            <w:r w:rsidRPr="007F26D1">
              <w:rPr>
                <w:rFonts w:ascii="Arial" w:hAnsi="Arial" w:cs="Arial"/>
                <w:b/>
                <w:sz w:val="20"/>
                <w:szCs w:val="20"/>
              </w:rPr>
              <w:lastRenderedPageBreak/>
              <w:t>Developer’s Fee</w:t>
            </w:r>
          </w:p>
        </w:tc>
        <w:tc>
          <w:tcPr>
            <w:tcW w:w="9018" w:type="dxa"/>
            <w:gridSpan w:val="2"/>
          </w:tcPr>
          <w:tbl>
            <w:tblPr>
              <w:tblStyle w:val="TableGrid"/>
              <w:tblpPr w:leftFromText="216" w:rightFromText="216" w:vertAnchor="text" w:horzAnchor="margin" w:tblpXSpec="right" w:tblpY="-180"/>
              <w:tblOverlap w:val="never"/>
              <w:tblW w:w="4352" w:type="dxa"/>
              <w:tblLayout w:type="fixed"/>
              <w:tblLook w:val="04A0" w:firstRow="1" w:lastRow="0" w:firstColumn="1" w:lastColumn="0" w:noHBand="0" w:noVBand="1"/>
            </w:tblPr>
            <w:tblGrid>
              <w:gridCol w:w="2975"/>
              <w:gridCol w:w="1377"/>
            </w:tblGrid>
            <w:tr w:rsidR="004B3044" w:rsidRPr="007F26D1" w14:paraId="2540BE7D" w14:textId="77777777">
              <w:trPr>
                <w:trHeight w:val="368"/>
              </w:trPr>
              <w:tc>
                <w:tcPr>
                  <w:tcW w:w="4352" w:type="dxa"/>
                  <w:gridSpan w:val="2"/>
                  <w:tcBorders>
                    <w:bottom w:val="single" w:sz="4" w:space="0" w:color="FFFFFF" w:themeColor="background1"/>
                    <w:right w:val="single" w:sz="4" w:space="0" w:color="000000" w:themeColor="text1"/>
                  </w:tcBorders>
                  <w:shd w:val="clear" w:color="auto" w:fill="7F7F7F" w:themeFill="text1" w:themeFillTint="80"/>
                  <w:vAlign w:val="center"/>
                </w:tcPr>
                <w:p w14:paraId="2F5D3180" w14:textId="77777777" w:rsidR="004B3044" w:rsidRPr="007F26D1" w:rsidRDefault="004B3044">
                  <w:pPr>
                    <w:rPr>
                      <w:rFonts w:ascii="Arial" w:hAnsi="Arial" w:cs="Arial"/>
                      <w:b/>
                      <w:color w:val="FFFFFF" w:themeColor="background1"/>
                      <w:sz w:val="20"/>
                      <w:szCs w:val="20"/>
                    </w:rPr>
                  </w:pPr>
                  <w:r>
                    <w:rPr>
                      <w:rFonts w:ascii="Arial" w:hAnsi="Arial" w:cs="Arial"/>
                      <w:b/>
                      <w:color w:val="FFFFFF" w:themeColor="background1"/>
                      <w:sz w:val="20"/>
                      <w:szCs w:val="20"/>
                    </w:rPr>
                    <w:t xml:space="preserve">Table 2: </w:t>
                  </w:r>
                  <w:r w:rsidRPr="007F26D1">
                    <w:rPr>
                      <w:rFonts w:ascii="Arial" w:hAnsi="Arial" w:cs="Arial"/>
                      <w:b/>
                      <w:color w:val="FFFFFF" w:themeColor="background1"/>
                      <w:sz w:val="20"/>
                      <w:szCs w:val="20"/>
                    </w:rPr>
                    <w:t>Paid Fee Schedule</w:t>
                  </w:r>
                </w:p>
              </w:tc>
            </w:tr>
            <w:tr w:rsidR="004B3044" w:rsidRPr="007F26D1" w14:paraId="33E6D075" w14:textId="77777777">
              <w:trPr>
                <w:trHeight w:val="368"/>
              </w:trPr>
              <w:tc>
                <w:tcPr>
                  <w:tcW w:w="2975" w:type="dxa"/>
                  <w:vMerge w:val="restart"/>
                  <w:tcBorders>
                    <w:bottom w:val="single" w:sz="4" w:space="0" w:color="FFFFFF" w:themeColor="background1"/>
                    <w:right w:val="single" w:sz="4" w:space="0" w:color="FFFFFF" w:themeColor="background1"/>
                  </w:tcBorders>
                  <w:shd w:val="clear" w:color="auto" w:fill="7F7F7F" w:themeFill="text1" w:themeFillTint="80"/>
                  <w:vAlign w:val="center"/>
                </w:tcPr>
                <w:p w14:paraId="3FD883B9" w14:textId="77777777" w:rsidR="004B3044" w:rsidRPr="007F26D1" w:rsidRDefault="004B3044">
                  <w:pPr>
                    <w:rPr>
                      <w:rFonts w:ascii="Arial" w:hAnsi="Arial" w:cs="Arial"/>
                      <w:b/>
                      <w:color w:val="FFFFFF" w:themeColor="background1"/>
                      <w:sz w:val="20"/>
                      <w:szCs w:val="20"/>
                    </w:rPr>
                  </w:pPr>
                  <w:r w:rsidRPr="007F26D1">
                    <w:rPr>
                      <w:rFonts w:ascii="Arial" w:hAnsi="Arial" w:cs="Arial"/>
                      <w:b/>
                      <w:color w:val="FFFFFF" w:themeColor="background1"/>
                      <w:sz w:val="20"/>
                      <w:szCs w:val="20"/>
                    </w:rPr>
                    <w:t>Underwritten Rental Tier</w:t>
                  </w:r>
                </w:p>
              </w:tc>
              <w:tc>
                <w:tcPr>
                  <w:tcW w:w="1377" w:type="dxa"/>
                  <w:vMerge w:val="restart"/>
                  <w:tcBorders>
                    <w:left w:val="single" w:sz="4" w:space="0" w:color="FFFFFF" w:themeColor="background1"/>
                    <w:bottom w:val="single" w:sz="4" w:space="0" w:color="FFFFFF" w:themeColor="background1"/>
                    <w:right w:val="single" w:sz="4" w:space="0" w:color="000000" w:themeColor="text1"/>
                  </w:tcBorders>
                  <w:shd w:val="clear" w:color="auto" w:fill="7F7F7F" w:themeFill="text1" w:themeFillTint="80"/>
                  <w:vAlign w:val="center"/>
                </w:tcPr>
                <w:p w14:paraId="70422087" w14:textId="77777777" w:rsidR="004B3044" w:rsidRPr="007F26D1" w:rsidRDefault="004B3044">
                  <w:pPr>
                    <w:jc w:val="right"/>
                    <w:rPr>
                      <w:rFonts w:ascii="Arial" w:hAnsi="Arial" w:cs="Arial"/>
                      <w:b/>
                      <w:color w:val="FFFFFF" w:themeColor="background1"/>
                      <w:sz w:val="20"/>
                      <w:szCs w:val="20"/>
                    </w:rPr>
                  </w:pPr>
                  <w:r w:rsidRPr="007F26D1">
                    <w:rPr>
                      <w:rFonts w:ascii="Arial" w:hAnsi="Arial" w:cs="Arial"/>
                      <w:b/>
                      <w:color w:val="FFFFFF" w:themeColor="background1"/>
                      <w:sz w:val="20"/>
                      <w:szCs w:val="20"/>
                    </w:rPr>
                    <w:t>Max Paid Fee per Unit</w:t>
                  </w:r>
                </w:p>
              </w:tc>
            </w:tr>
            <w:tr w:rsidR="004B3044" w:rsidRPr="007F26D1" w14:paraId="713F0885" w14:textId="77777777">
              <w:trPr>
                <w:trHeight w:val="350"/>
              </w:trPr>
              <w:tc>
                <w:tcPr>
                  <w:tcW w:w="2975" w:type="dxa"/>
                  <w:vMerge/>
                  <w:tcBorders>
                    <w:bottom w:val="single" w:sz="4" w:space="0" w:color="FFFFFF" w:themeColor="background1"/>
                    <w:right w:val="single" w:sz="4" w:space="0" w:color="FFFFFF" w:themeColor="background1"/>
                  </w:tcBorders>
                  <w:shd w:val="clear" w:color="auto" w:fill="7F7F7F" w:themeFill="text1" w:themeFillTint="80"/>
                </w:tcPr>
                <w:p w14:paraId="38D7E442" w14:textId="77777777" w:rsidR="004B3044" w:rsidRPr="007F26D1" w:rsidRDefault="004B3044">
                  <w:pPr>
                    <w:rPr>
                      <w:rFonts w:ascii="Arial" w:hAnsi="Arial" w:cs="Arial"/>
                      <w:b/>
                      <w:color w:val="FFFFFF" w:themeColor="background1"/>
                      <w:sz w:val="20"/>
                      <w:szCs w:val="20"/>
                    </w:rPr>
                  </w:pPr>
                </w:p>
              </w:tc>
              <w:tc>
                <w:tcPr>
                  <w:tcW w:w="1377" w:type="dxa"/>
                  <w:vMerge/>
                  <w:tcBorders>
                    <w:top w:val="single" w:sz="4" w:space="0" w:color="FFFFFF" w:themeColor="background1"/>
                    <w:left w:val="single" w:sz="4" w:space="0" w:color="FFFFFF" w:themeColor="background1"/>
                    <w:bottom w:val="single" w:sz="4" w:space="0" w:color="404040" w:themeColor="text1" w:themeTint="BF"/>
                    <w:right w:val="single" w:sz="4" w:space="0" w:color="000000" w:themeColor="text1"/>
                  </w:tcBorders>
                  <w:shd w:val="clear" w:color="auto" w:fill="7F7F7F" w:themeFill="text1" w:themeFillTint="80"/>
                </w:tcPr>
                <w:p w14:paraId="4D5C83F4" w14:textId="77777777" w:rsidR="004B3044" w:rsidRPr="007F26D1" w:rsidRDefault="004B3044">
                  <w:pPr>
                    <w:jc w:val="right"/>
                    <w:rPr>
                      <w:rFonts w:ascii="Arial" w:hAnsi="Arial" w:cs="Arial"/>
                      <w:b/>
                      <w:color w:val="FFFFFF" w:themeColor="background1"/>
                      <w:sz w:val="20"/>
                      <w:szCs w:val="20"/>
                    </w:rPr>
                  </w:pPr>
                </w:p>
              </w:tc>
            </w:tr>
            <w:tr w:rsidR="004B3044" w:rsidRPr="007F26D1" w14:paraId="77F6CE0F" w14:textId="77777777">
              <w:tc>
                <w:tcPr>
                  <w:tcW w:w="297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1A36D134" w14:textId="77777777" w:rsidR="004B3044" w:rsidRPr="007F26D1" w:rsidRDefault="004B3044">
                  <w:pPr>
                    <w:rPr>
                      <w:rFonts w:ascii="Arial" w:hAnsi="Arial" w:cs="Arial"/>
                      <w:b/>
                      <w:color w:val="FFFFFF" w:themeColor="background1"/>
                      <w:sz w:val="20"/>
                      <w:szCs w:val="20"/>
                    </w:rPr>
                  </w:pPr>
                  <w:r>
                    <w:rPr>
                      <w:rFonts w:ascii="Arial" w:hAnsi="Arial" w:cs="Arial"/>
                      <w:b/>
                      <w:color w:val="FFFFFF" w:themeColor="background1"/>
                      <w:sz w:val="20"/>
                      <w:szCs w:val="20"/>
                    </w:rPr>
                    <w:t>Homeless Units*</w:t>
                  </w:r>
                </w:p>
              </w:tc>
              <w:tc>
                <w:tcPr>
                  <w:tcW w:w="1377" w:type="dxa"/>
                  <w:tcBorders>
                    <w:top w:val="single" w:sz="4" w:space="0" w:color="BFBFBF" w:themeColor="background1" w:themeShade="BF"/>
                    <w:left w:val="single" w:sz="4" w:space="0" w:color="404040" w:themeColor="text1" w:themeTint="BF"/>
                    <w:bottom w:val="single" w:sz="4" w:space="0" w:color="BFBFBF" w:themeColor="background1" w:themeShade="BF"/>
                    <w:right w:val="single" w:sz="4" w:space="0" w:color="000000" w:themeColor="text1"/>
                  </w:tcBorders>
                  <w:vAlign w:val="center"/>
                </w:tcPr>
                <w:p w14:paraId="4404672C" w14:textId="77777777" w:rsidR="004B3044" w:rsidRPr="007F26D1" w:rsidRDefault="004B3044">
                  <w:pPr>
                    <w:ind w:right="161"/>
                    <w:jc w:val="right"/>
                    <w:rPr>
                      <w:rFonts w:ascii="Arial" w:hAnsi="Arial" w:cs="Arial"/>
                      <w:sz w:val="20"/>
                      <w:szCs w:val="20"/>
                    </w:rPr>
                  </w:pPr>
                  <w:r>
                    <w:rPr>
                      <w:rFonts w:ascii="Arial" w:hAnsi="Arial" w:cs="Arial"/>
                      <w:sz w:val="20"/>
                      <w:szCs w:val="20"/>
                    </w:rPr>
                    <w:t>$35,000</w:t>
                  </w:r>
                </w:p>
              </w:tc>
            </w:tr>
            <w:tr w:rsidR="004B3044" w:rsidRPr="007F26D1" w14:paraId="66B68BA5" w14:textId="77777777">
              <w:tc>
                <w:tcPr>
                  <w:tcW w:w="297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524C15CD" w14:textId="77777777" w:rsidR="004B3044" w:rsidRPr="007F26D1" w:rsidRDefault="004B3044">
                  <w:pPr>
                    <w:rPr>
                      <w:rFonts w:ascii="Arial" w:hAnsi="Arial" w:cs="Arial"/>
                      <w:b/>
                      <w:color w:val="FFFFFF" w:themeColor="background1"/>
                      <w:sz w:val="20"/>
                      <w:szCs w:val="20"/>
                    </w:rPr>
                  </w:pPr>
                  <w:r w:rsidRPr="007F26D1">
                    <w:rPr>
                      <w:rFonts w:ascii="Arial" w:hAnsi="Arial" w:cs="Arial"/>
                      <w:b/>
                      <w:color w:val="FFFFFF" w:themeColor="background1"/>
                      <w:sz w:val="20"/>
                      <w:szCs w:val="20"/>
                    </w:rPr>
                    <w:t>27% - 47% of AMI</w:t>
                  </w:r>
                  <w:r>
                    <w:rPr>
                      <w:rFonts w:ascii="Arial" w:hAnsi="Arial" w:cs="Arial"/>
                      <w:b/>
                      <w:color w:val="FFFFFF" w:themeColor="background1"/>
                      <w:sz w:val="20"/>
                      <w:szCs w:val="20"/>
                    </w:rPr>
                    <w:t xml:space="preserve"> Units</w:t>
                  </w:r>
                </w:p>
              </w:tc>
              <w:tc>
                <w:tcPr>
                  <w:tcW w:w="1377" w:type="dxa"/>
                  <w:tcBorders>
                    <w:top w:val="single" w:sz="4" w:space="0" w:color="BFBFBF" w:themeColor="background1" w:themeShade="BF"/>
                    <w:left w:val="single" w:sz="4" w:space="0" w:color="404040" w:themeColor="text1" w:themeTint="BF"/>
                    <w:bottom w:val="single" w:sz="4" w:space="0" w:color="BFBFBF" w:themeColor="background1" w:themeShade="BF"/>
                    <w:right w:val="single" w:sz="4" w:space="0" w:color="000000" w:themeColor="text1"/>
                  </w:tcBorders>
                  <w:vAlign w:val="center"/>
                </w:tcPr>
                <w:p w14:paraId="4BED3928" w14:textId="77777777" w:rsidR="004B3044" w:rsidRPr="007F26D1" w:rsidRDefault="004B3044">
                  <w:pPr>
                    <w:ind w:right="161"/>
                    <w:jc w:val="right"/>
                    <w:rPr>
                      <w:rFonts w:ascii="Arial" w:hAnsi="Arial" w:cs="Arial"/>
                      <w:sz w:val="20"/>
                      <w:szCs w:val="20"/>
                    </w:rPr>
                  </w:pPr>
                  <w:r w:rsidRPr="007F26D1">
                    <w:rPr>
                      <w:rFonts w:ascii="Arial" w:hAnsi="Arial" w:cs="Arial"/>
                      <w:sz w:val="20"/>
                      <w:szCs w:val="20"/>
                    </w:rPr>
                    <w:t>$35,000</w:t>
                  </w:r>
                </w:p>
              </w:tc>
            </w:tr>
            <w:tr w:rsidR="004B3044" w:rsidRPr="007F26D1" w14:paraId="23A201CB" w14:textId="77777777">
              <w:tc>
                <w:tcPr>
                  <w:tcW w:w="297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04182A29" w14:textId="77777777" w:rsidR="004B3044" w:rsidRPr="007F26D1" w:rsidRDefault="004B3044">
                  <w:pPr>
                    <w:rPr>
                      <w:rFonts w:ascii="Arial" w:hAnsi="Arial" w:cs="Arial"/>
                      <w:b/>
                      <w:color w:val="FFFFFF" w:themeColor="background1"/>
                      <w:sz w:val="20"/>
                      <w:szCs w:val="20"/>
                    </w:rPr>
                  </w:pPr>
                  <w:r w:rsidRPr="007F26D1">
                    <w:rPr>
                      <w:rFonts w:ascii="Arial" w:hAnsi="Arial" w:cs="Arial"/>
                      <w:b/>
                      <w:color w:val="FFFFFF" w:themeColor="background1"/>
                      <w:sz w:val="20"/>
                      <w:szCs w:val="20"/>
                    </w:rPr>
                    <w:t>57% - 77% of AMI</w:t>
                  </w:r>
                  <w:r>
                    <w:rPr>
                      <w:rFonts w:ascii="Arial" w:hAnsi="Arial" w:cs="Arial"/>
                      <w:b/>
                      <w:color w:val="FFFFFF" w:themeColor="background1"/>
                      <w:sz w:val="20"/>
                      <w:szCs w:val="20"/>
                    </w:rPr>
                    <w:t xml:space="preserve"> Units</w:t>
                  </w:r>
                </w:p>
              </w:tc>
              <w:tc>
                <w:tcPr>
                  <w:tcW w:w="1377" w:type="dxa"/>
                  <w:tcBorders>
                    <w:top w:val="single" w:sz="4" w:space="0" w:color="BFBFBF" w:themeColor="background1" w:themeShade="BF"/>
                    <w:left w:val="single" w:sz="4" w:space="0" w:color="404040" w:themeColor="text1" w:themeTint="BF"/>
                    <w:bottom w:val="single" w:sz="4" w:space="0" w:color="BFBFBF" w:themeColor="background1" w:themeShade="BF"/>
                    <w:right w:val="single" w:sz="4" w:space="0" w:color="000000" w:themeColor="text1"/>
                  </w:tcBorders>
                  <w:vAlign w:val="center"/>
                </w:tcPr>
                <w:p w14:paraId="2E162BFB" w14:textId="77777777" w:rsidR="004B3044" w:rsidRPr="007F26D1" w:rsidRDefault="004B3044">
                  <w:pPr>
                    <w:ind w:right="161"/>
                    <w:jc w:val="right"/>
                    <w:rPr>
                      <w:rFonts w:ascii="Arial" w:hAnsi="Arial" w:cs="Arial"/>
                      <w:sz w:val="20"/>
                      <w:szCs w:val="20"/>
                    </w:rPr>
                  </w:pPr>
                  <w:r w:rsidRPr="007F26D1">
                    <w:rPr>
                      <w:rFonts w:ascii="Arial" w:hAnsi="Arial" w:cs="Arial"/>
                      <w:sz w:val="20"/>
                      <w:szCs w:val="20"/>
                    </w:rPr>
                    <w:t>$27,500</w:t>
                  </w:r>
                </w:p>
              </w:tc>
            </w:tr>
            <w:tr w:rsidR="004B3044" w:rsidRPr="007F26D1" w14:paraId="1E01C2F9" w14:textId="77777777">
              <w:tc>
                <w:tcPr>
                  <w:tcW w:w="297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192B98C6" w14:textId="77777777" w:rsidR="004B3044" w:rsidRPr="007F26D1" w:rsidRDefault="004B3044">
                  <w:pPr>
                    <w:rPr>
                      <w:rFonts w:ascii="Arial" w:hAnsi="Arial" w:cs="Arial"/>
                      <w:b/>
                      <w:color w:val="FFFFFF" w:themeColor="background1"/>
                      <w:sz w:val="20"/>
                      <w:szCs w:val="20"/>
                    </w:rPr>
                  </w:pPr>
                  <w:r w:rsidRPr="007F26D1">
                    <w:rPr>
                      <w:rFonts w:ascii="Arial" w:hAnsi="Arial" w:cs="Arial"/>
                      <w:b/>
                      <w:color w:val="FFFFFF" w:themeColor="background1"/>
                      <w:sz w:val="20"/>
                      <w:szCs w:val="20"/>
                    </w:rPr>
                    <w:t>80% - 90% of AMI</w:t>
                  </w:r>
                  <w:r>
                    <w:rPr>
                      <w:rFonts w:ascii="Arial" w:hAnsi="Arial" w:cs="Arial"/>
                      <w:b/>
                      <w:color w:val="FFFFFF" w:themeColor="background1"/>
                      <w:sz w:val="20"/>
                      <w:szCs w:val="20"/>
                    </w:rPr>
                    <w:t xml:space="preserve"> Units</w:t>
                  </w:r>
                </w:p>
              </w:tc>
              <w:tc>
                <w:tcPr>
                  <w:tcW w:w="1377" w:type="dxa"/>
                  <w:tcBorders>
                    <w:top w:val="single" w:sz="4" w:space="0" w:color="BFBFBF" w:themeColor="background1" w:themeShade="BF"/>
                    <w:left w:val="single" w:sz="4" w:space="0" w:color="404040" w:themeColor="text1" w:themeTint="BF"/>
                    <w:bottom w:val="single" w:sz="4" w:space="0" w:color="BFBFBF" w:themeColor="background1" w:themeShade="BF"/>
                    <w:right w:val="single" w:sz="4" w:space="0" w:color="000000" w:themeColor="text1"/>
                  </w:tcBorders>
                  <w:vAlign w:val="center"/>
                </w:tcPr>
                <w:p w14:paraId="3890971B" w14:textId="77777777" w:rsidR="004B3044" w:rsidRPr="007F26D1" w:rsidRDefault="004B3044">
                  <w:pPr>
                    <w:ind w:right="161"/>
                    <w:jc w:val="right"/>
                    <w:rPr>
                      <w:rFonts w:ascii="Arial" w:hAnsi="Arial" w:cs="Arial"/>
                      <w:sz w:val="20"/>
                      <w:szCs w:val="20"/>
                    </w:rPr>
                  </w:pPr>
                  <w:r w:rsidRPr="007F26D1">
                    <w:rPr>
                      <w:rFonts w:ascii="Arial" w:hAnsi="Arial" w:cs="Arial"/>
                      <w:sz w:val="20"/>
                      <w:szCs w:val="20"/>
                    </w:rPr>
                    <w:t>$20,000</w:t>
                  </w:r>
                </w:p>
              </w:tc>
            </w:tr>
            <w:tr w:rsidR="004B3044" w:rsidRPr="007F26D1" w14:paraId="41C76521" w14:textId="77777777">
              <w:tc>
                <w:tcPr>
                  <w:tcW w:w="297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44A18DF8" w14:textId="77777777" w:rsidR="004B3044" w:rsidRPr="007F26D1" w:rsidRDefault="004B3044">
                  <w:pPr>
                    <w:rPr>
                      <w:rFonts w:ascii="Arial" w:hAnsi="Arial" w:cs="Arial"/>
                      <w:b/>
                      <w:color w:val="FFFFFF" w:themeColor="background1"/>
                      <w:sz w:val="20"/>
                      <w:szCs w:val="20"/>
                    </w:rPr>
                  </w:pPr>
                  <w:r w:rsidRPr="007F26D1">
                    <w:rPr>
                      <w:rFonts w:ascii="Arial" w:hAnsi="Arial" w:cs="Arial"/>
                      <w:b/>
                      <w:color w:val="FFFFFF" w:themeColor="background1"/>
                      <w:sz w:val="20"/>
                      <w:szCs w:val="20"/>
                    </w:rPr>
                    <w:t>100% - 120% of AMI</w:t>
                  </w:r>
                  <w:r>
                    <w:rPr>
                      <w:rFonts w:ascii="Arial" w:hAnsi="Arial" w:cs="Arial"/>
                      <w:b/>
                      <w:color w:val="FFFFFF" w:themeColor="background1"/>
                      <w:sz w:val="20"/>
                      <w:szCs w:val="20"/>
                    </w:rPr>
                    <w:t xml:space="preserve"> Units</w:t>
                  </w:r>
                </w:p>
              </w:tc>
              <w:tc>
                <w:tcPr>
                  <w:tcW w:w="1377" w:type="dxa"/>
                  <w:tcBorders>
                    <w:top w:val="single" w:sz="4" w:space="0" w:color="BFBFBF" w:themeColor="background1" w:themeShade="BF"/>
                    <w:left w:val="single" w:sz="4" w:space="0" w:color="404040" w:themeColor="text1" w:themeTint="BF"/>
                    <w:bottom w:val="single" w:sz="4" w:space="0" w:color="BFBFBF" w:themeColor="background1" w:themeShade="BF"/>
                    <w:right w:val="single" w:sz="4" w:space="0" w:color="000000" w:themeColor="text1"/>
                  </w:tcBorders>
                  <w:vAlign w:val="center"/>
                </w:tcPr>
                <w:p w14:paraId="04D02FD3" w14:textId="77777777" w:rsidR="004B3044" w:rsidRPr="007F26D1" w:rsidRDefault="004B3044">
                  <w:pPr>
                    <w:ind w:right="161"/>
                    <w:jc w:val="right"/>
                    <w:rPr>
                      <w:rFonts w:ascii="Arial" w:hAnsi="Arial" w:cs="Arial"/>
                      <w:sz w:val="20"/>
                      <w:szCs w:val="20"/>
                    </w:rPr>
                  </w:pPr>
                  <w:r w:rsidRPr="007F26D1">
                    <w:rPr>
                      <w:rFonts w:ascii="Arial" w:hAnsi="Arial" w:cs="Arial"/>
                      <w:sz w:val="20"/>
                      <w:szCs w:val="20"/>
                    </w:rPr>
                    <w:t>$12,500</w:t>
                  </w:r>
                </w:p>
              </w:tc>
            </w:tr>
            <w:tr w:rsidR="004B3044" w:rsidRPr="007F26D1" w14:paraId="4C46FD3F" w14:textId="77777777">
              <w:tc>
                <w:tcPr>
                  <w:tcW w:w="297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197F74AA" w14:textId="77777777" w:rsidR="004B3044" w:rsidRPr="007F26D1" w:rsidRDefault="004B3044">
                  <w:pPr>
                    <w:rPr>
                      <w:rFonts w:ascii="Arial" w:hAnsi="Arial" w:cs="Arial"/>
                      <w:b/>
                      <w:color w:val="FFFFFF" w:themeColor="background1"/>
                      <w:sz w:val="20"/>
                      <w:szCs w:val="20"/>
                    </w:rPr>
                  </w:pPr>
                  <w:r>
                    <w:rPr>
                      <w:rFonts w:ascii="Arial" w:hAnsi="Arial" w:cs="Arial"/>
                      <w:b/>
                      <w:color w:val="FFFFFF" w:themeColor="background1"/>
                      <w:sz w:val="20"/>
                      <w:szCs w:val="20"/>
                    </w:rPr>
                    <w:t>Superintendent’s Unit</w:t>
                  </w:r>
                </w:p>
              </w:tc>
              <w:tc>
                <w:tcPr>
                  <w:tcW w:w="1377" w:type="dxa"/>
                  <w:tcBorders>
                    <w:top w:val="single" w:sz="4" w:space="0" w:color="BFBFBF" w:themeColor="background1" w:themeShade="BF"/>
                    <w:left w:val="single" w:sz="4" w:space="0" w:color="404040" w:themeColor="text1" w:themeTint="BF"/>
                    <w:bottom w:val="single" w:sz="4" w:space="0" w:color="BFBFBF" w:themeColor="background1" w:themeShade="BF"/>
                    <w:right w:val="single" w:sz="4" w:space="0" w:color="000000" w:themeColor="text1"/>
                  </w:tcBorders>
                  <w:vAlign w:val="center"/>
                </w:tcPr>
                <w:p w14:paraId="49AB50C9" w14:textId="77777777" w:rsidR="004B3044" w:rsidRPr="007F26D1" w:rsidRDefault="004B3044">
                  <w:pPr>
                    <w:ind w:right="161"/>
                    <w:jc w:val="right"/>
                    <w:rPr>
                      <w:rFonts w:ascii="Arial" w:hAnsi="Arial" w:cs="Arial"/>
                      <w:sz w:val="20"/>
                      <w:szCs w:val="20"/>
                    </w:rPr>
                  </w:pPr>
                  <w:r>
                    <w:rPr>
                      <w:rFonts w:ascii="Arial" w:hAnsi="Arial" w:cs="Arial"/>
                      <w:sz w:val="20"/>
                      <w:szCs w:val="20"/>
                    </w:rPr>
                    <w:t>$20,000</w:t>
                  </w:r>
                </w:p>
              </w:tc>
            </w:tr>
            <w:tr w:rsidR="004B3044" w:rsidRPr="007F26D1" w14:paraId="709BB877" w14:textId="77777777">
              <w:tc>
                <w:tcPr>
                  <w:tcW w:w="2975" w:type="dxa"/>
                  <w:tcBorders>
                    <w:top w:val="single" w:sz="4" w:space="0" w:color="FFFFFF" w:themeColor="background1"/>
                    <w:bottom w:val="single" w:sz="4" w:space="0" w:color="FFFFFF" w:themeColor="background1"/>
                    <w:right w:val="single" w:sz="4" w:space="0" w:color="404040" w:themeColor="text1" w:themeTint="BF"/>
                  </w:tcBorders>
                  <w:shd w:val="clear" w:color="auto" w:fill="7F7F7F" w:themeFill="text1" w:themeFillTint="80"/>
                </w:tcPr>
                <w:p w14:paraId="5A6E25A3" w14:textId="77777777" w:rsidR="004B3044" w:rsidRPr="007F26D1" w:rsidRDefault="004B3044">
                  <w:pPr>
                    <w:rPr>
                      <w:rFonts w:ascii="Arial" w:hAnsi="Arial" w:cs="Arial"/>
                      <w:b/>
                      <w:color w:val="FFFFFF" w:themeColor="background1"/>
                      <w:sz w:val="20"/>
                      <w:szCs w:val="20"/>
                    </w:rPr>
                  </w:pPr>
                  <w:r w:rsidRPr="007F26D1">
                    <w:rPr>
                      <w:rFonts w:ascii="Arial" w:hAnsi="Arial" w:cs="Arial"/>
                      <w:b/>
                      <w:color w:val="FFFFFF" w:themeColor="background1"/>
                      <w:sz w:val="20"/>
                      <w:szCs w:val="20"/>
                    </w:rPr>
                    <w:t>Market Rate Units</w:t>
                  </w:r>
                </w:p>
              </w:tc>
              <w:tc>
                <w:tcPr>
                  <w:tcW w:w="1377" w:type="dxa"/>
                  <w:tcBorders>
                    <w:top w:val="single" w:sz="4" w:space="0" w:color="BFBFBF" w:themeColor="background1" w:themeShade="BF"/>
                    <w:left w:val="single" w:sz="4" w:space="0" w:color="404040" w:themeColor="text1" w:themeTint="BF"/>
                    <w:bottom w:val="single" w:sz="4" w:space="0" w:color="BFBFBF" w:themeColor="background1" w:themeShade="BF"/>
                    <w:right w:val="single" w:sz="4" w:space="0" w:color="000000" w:themeColor="text1"/>
                  </w:tcBorders>
                  <w:vAlign w:val="center"/>
                </w:tcPr>
                <w:p w14:paraId="4EA6D08E" w14:textId="77777777" w:rsidR="004B3044" w:rsidRPr="007F26D1" w:rsidRDefault="004B3044">
                  <w:pPr>
                    <w:ind w:right="161"/>
                    <w:jc w:val="right"/>
                    <w:rPr>
                      <w:rFonts w:ascii="Arial" w:hAnsi="Arial" w:cs="Arial"/>
                      <w:sz w:val="20"/>
                      <w:szCs w:val="20"/>
                    </w:rPr>
                  </w:pPr>
                  <w:r w:rsidRPr="007F26D1">
                    <w:rPr>
                      <w:rFonts w:ascii="Arial" w:hAnsi="Arial" w:cs="Arial"/>
                      <w:sz w:val="20"/>
                      <w:szCs w:val="20"/>
                    </w:rPr>
                    <w:t>$0</w:t>
                  </w:r>
                </w:p>
              </w:tc>
            </w:tr>
            <w:tr w:rsidR="004B3044" w:rsidRPr="007F26D1" w14:paraId="313E362E" w14:textId="77777777">
              <w:tc>
                <w:tcPr>
                  <w:tcW w:w="4352" w:type="dxa"/>
                  <w:gridSpan w:val="2"/>
                  <w:tcBorders>
                    <w:top w:val="single" w:sz="4" w:space="0" w:color="FFFFFF" w:themeColor="background1"/>
                    <w:bottom w:val="single" w:sz="4" w:space="0" w:color="auto"/>
                    <w:right w:val="single" w:sz="4" w:space="0" w:color="000000" w:themeColor="text1"/>
                  </w:tcBorders>
                  <w:shd w:val="clear" w:color="auto" w:fill="808080" w:themeFill="background1" w:themeFillShade="80"/>
                </w:tcPr>
                <w:p w14:paraId="2100A81D" w14:textId="77777777" w:rsidR="004B3044" w:rsidRPr="006455D1" w:rsidRDefault="004B3044">
                  <w:pPr>
                    <w:ind w:right="161"/>
                    <w:rPr>
                      <w:rFonts w:ascii="Arial" w:hAnsi="Arial" w:cs="Arial"/>
                      <w:i/>
                      <w:color w:val="FFFFFF" w:themeColor="background1"/>
                      <w:sz w:val="16"/>
                      <w:szCs w:val="16"/>
                    </w:rPr>
                  </w:pPr>
                  <w:r w:rsidRPr="006455D1">
                    <w:rPr>
                      <w:rFonts w:ascii="Arial" w:hAnsi="Arial" w:cs="Arial"/>
                      <w:i/>
                      <w:color w:val="FFFFFF" w:themeColor="background1"/>
                      <w:sz w:val="16"/>
                      <w:szCs w:val="16"/>
                    </w:rPr>
                    <w:t xml:space="preserve">* Includes OurSpace and Rental Assistance Units </w:t>
                  </w:r>
                </w:p>
              </w:tc>
            </w:tr>
          </w:tbl>
          <w:p w14:paraId="3AB14DCA" w14:textId="77777777" w:rsidR="004B3044" w:rsidRPr="007F26D1" w:rsidRDefault="004B3044">
            <w:pPr>
              <w:tabs>
                <w:tab w:val="left" w:pos="341"/>
                <w:tab w:val="left" w:pos="7992"/>
              </w:tabs>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t xml:space="preserve">Developer fee is permitted for affordable units only in accordance with </w:t>
            </w:r>
            <w:r>
              <w:rPr>
                <w:rFonts w:ascii="Arial" w:hAnsi="Arial" w:cs="Arial"/>
                <w:sz w:val="20"/>
                <w:szCs w:val="20"/>
              </w:rPr>
              <w:t xml:space="preserve">Table 2: </w:t>
            </w:r>
            <w:r w:rsidRPr="007F26D1">
              <w:rPr>
                <w:rFonts w:ascii="Arial" w:hAnsi="Arial" w:cs="Arial"/>
                <w:sz w:val="20"/>
                <w:szCs w:val="20"/>
              </w:rPr>
              <w:t xml:space="preserve">Paid Fee Schedule.  Up to 10% of the fee may be paid during construction. Developer fee is not required to be deferred after permanent conversion, but developers may propose a deferred fee as a means to reduce the subsidy request. Financial and development consulting fees and owner’s representative fees must be paid from the developer fee.  Developer fee is not permitted for market rate units.  </w:t>
            </w:r>
          </w:p>
          <w:p w14:paraId="3F02185F" w14:textId="77777777" w:rsidR="004B3044" w:rsidRDefault="004B3044">
            <w:pPr>
              <w:pStyle w:val="BodyText3"/>
              <w:spacing w:after="0"/>
              <w:jc w:val="both"/>
              <w:rPr>
                <w:rFonts w:ascii="Arial" w:hAnsi="Arial" w:cs="Arial"/>
                <w:spacing w:val="-3"/>
                <w:sz w:val="20"/>
                <w:szCs w:val="20"/>
              </w:rPr>
            </w:pPr>
          </w:p>
          <w:p w14:paraId="4E6DD41F" w14:textId="77777777" w:rsidR="004B3044" w:rsidRDefault="004B3044">
            <w:pPr>
              <w:pStyle w:val="BodyText3"/>
              <w:spacing w:after="0"/>
              <w:jc w:val="both"/>
              <w:rPr>
                <w:rFonts w:ascii="Arial" w:hAnsi="Arial" w:cs="Arial"/>
                <w:spacing w:val="-3"/>
                <w:sz w:val="20"/>
                <w:szCs w:val="20"/>
              </w:rPr>
            </w:pPr>
          </w:p>
          <w:p w14:paraId="666F7A68" w14:textId="77777777" w:rsidR="004B3044" w:rsidRPr="007F26D1" w:rsidRDefault="004B3044">
            <w:pPr>
              <w:pStyle w:val="BodyText3"/>
              <w:spacing w:after="0"/>
              <w:jc w:val="both"/>
              <w:rPr>
                <w:rFonts w:ascii="Arial" w:hAnsi="Arial" w:cs="Arial"/>
                <w:spacing w:val="-3"/>
                <w:sz w:val="20"/>
                <w:szCs w:val="20"/>
              </w:rPr>
            </w:pPr>
          </w:p>
        </w:tc>
      </w:tr>
      <w:tr w:rsidR="004E3356" w:rsidRPr="007F26D1" w14:paraId="5D11066F" w14:textId="77777777" w:rsidTr="34030362">
        <w:trPr>
          <w:gridAfter w:val="1"/>
          <w:wAfter w:w="18" w:type="dxa"/>
        </w:trPr>
        <w:tc>
          <w:tcPr>
            <w:tcW w:w="1602" w:type="dxa"/>
          </w:tcPr>
          <w:p w14:paraId="16C9E66B" w14:textId="77777777" w:rsidR="004E3356" w:rsidRPr="007F26D1" w:rsidRDefault="004E3356">
            <w:pPr>
              <w:rPr>
                <w:rFonts w:ascii="Arial" w:hAnsi="Arial" w:cs="Arial"/>
                <w:b/>
                <w:sz w:val="20"/>
                <w:szCs w:val="20"/>
              </w:rPr>
            </w:pPr>
            <w:r w:rsidRPr="007F26D1">
              <w:rPr>
                <w:rFonts w:ascii="Arial" w:hAnsi="Arial" w:cs="Arial"/>
                <w:b/>
                <w:sz w:val="20"/>
                <w:szCs w:val="20"/>
              </w:rPr>
              <w:t>Loan Terms</w:t>
            </w:r>
          </w:p>
        </w:tc>
        <w:tc>
          <w:tcPr>
            <w:tcW w:w="9000" w:type="dxa"/>
          </w:tcPr>
          <w:p w14:paraId="5A996253" w14:textId="77777777" w:rsidR="004E3356" w:rsidRDefault="01CD5922">
            <w:pPr>
              <w:overflowPunct w:val="0"/>
              <w:autoSpaceDE w:val="0"/>
              <w:autoSpaceDN w:val="0"/>
              <w:adjustRightInd w:val="0"/>
              <w:jc w:val="both"/>
              <w:textAlignment w:val="baseline"/>
              <w:rPr>
                <w:rFonts w:ascii="Arial" w:hAnsi="Arial" w:cs="Arial"/>
                <w:sz w:val="20"/>
                <w:szCs w:val="20"/>
              </w:rPr>
            </w:pPr>
            <w:r w:rsidRPr="34030362">
              <w:rPr>
                <w:rFonts w:ascii="Arial" w:hAnsi="Arial" w:cs="Arial"/>
                <w:sz w:val="20"/>
                <w:szCs w:val="20"/>
              </w:rPr>
              <w:t>HPD subsidy loans are made at the sole discretion of HPD and are subject to approval by the NYC Office of Management and Budget (OMB).  The minimum loan term is 30 years, and loan terms may vary by funding source and lending authority.</w:t>
            </w:r>
          </w:p>
          <w:p w14:paraId="495DE09F" w14:textId="77777777" w:rsidR="004E3356" w:rsidRPr="007F26D1" w:rsidRDefault="004E3356">
            <w:pPr>
              <w:overflowPunct w:val="0"/>
              <w:autoSpaceDE w:val="0"/>
              <w:autoSpaceDN w:val="0"/>
              <w:adjustRightInd w:val="0"/>
              <w:jc w:val="both"/>
              <w:textAlignment w:val="baseline"/>
              <w:rPr>
                <w:rFonts w:ascii="Arial" w:hAnsi="Arial" w:cs="Arial"/>
                <w:sz w:val="20"/>
                <w:szCs w:val="20"/>
              </w:rPr>
            </w:pPr>
          </w:p>
          <w:p w14:paraId="317EFEC4" w14:textId="77777777" w:rsidR="004E3356" w:rsidRDefault="004E3356">
            <w:pPr>
              <w:tabs>
                <w:tab w:val="left" w:pos="0"/>
                <w:tab w:val="left" w:pos="1080"/>
                <w:tab w:val="left" w:pos="2520"/>
                <w:tab w:val="left" w:pos="2880"/>
                <w:tab w:val="left" w:pos="3240"/>
                <w:tab w:val="left" w:pos="3960"/>
                <w:tab w:val="left" w:pos="4680"/>
                <w:tab w:val="left" w:pos="5400"/>
                <w:tab w:val="left" w:pos="6120"/>
                <w:tab w:val="left" w:pos="6840"/>
                <w:tab w:val="left" w:pos="7560"/>
                <w:tab w:val="left" w:pos="8280"/>
                <w:tab w:val="left" w:pos="9720"/>
                <w:tab w:val="left" w:pos="10440"/>
                <w:tab w:val="left" w:pos="10800"/>
              </w:tabs>
              <w:suppressAutoHyphens/>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The HPD subsidy loan interest rate will be equal to the </w:t>
            </w:r>
            <w:r w:rsidRPr="007F26D1">
              <w:rPr>
                <w:rFonts w:ascii="Arial" w:hAnsi="Arial" w:cs="Arial"/>
                <w:sz w:val="20"/>
                <w:szCs w:val="20"/>
              </w:rPr>
              <w:t>Applicable Federal Rate (AFR) monthly long-term rate</w:t>
            </w:r>
            <w:r>
              <w:rPr>
                <w:rFonts w:ascii="Arial" w:hAnsi="Arial" w:cs="Arial"/>
                <w:sz w:val="20"/>
                <w:szCs w:val="20"/>
              </w:rPr>
              <w:t xml:space="preserve"> at the time of closing.  Interest will defer and accrue at a</w:t>
            </w:r>
            <w:r w:rsidRPr="007F26D1">
              <w:rPr>
                <w:rFonts w:ascii="Arial" w:hAnsi="Arial" w:cs="Arial"/>
                <w:sz w:val="20"/>
                <w:szCs w:val="20"/>
              </w:rPr>
              <w:t xml:space="preserve"> simple</w:t>
            </w:r>
            <w:r>
              <w:rPr>
                <w:rFonts w:ascii="Arial" w:hAnsi="Arial" w:cs="Arial"/>
                <w:sz w:val="20"/>
                <w:szCs w:val="20"/>
              </w:rPr>
              <w:t xml:space="preserve"> annual</w:t>
            </w:r>
            <w:r w:rsidRPr="007F26D1">
              <w:rPr>
                <w:rFonts w:ascii="Arial" w:hAnsi="Arial" w:cs="Arial"/>
                <w:sz w:val="20"/>
                <w:szCs w:val="20"/>
              </w:rPr>
              <w:t xml:space="preserve"> </w:t>
            </w:r>
            <w:r>
              <w:rPr>
                <w:rFonts w:ascii="Arial" w:hAnsi="Arial" w:cs="Arial"/>
                <w:sz w:val="20"/>
                <w:szCs w:val="20"/>
              </w:rPr>
              <w:t xml:space="preserve">rate </w:t>
            </w:r>
            <w:r w:rsidRPr="007F26D1">
              <w:rPr>
                <w:rFonts w:ascii="Arial" w:hAnsi="Arial" w:cs="Arial"/>
                <w:sz w:val="20"/>
                <w:szCs w:val="20"/>
              </w:rPr>
              <w:t>during construction</w:t>
            </w:r>
            <w:r>
              <w:rPr>
                <w:rFonts w:ascii="Arial" w:hAnsi="Arial" w:cs="Arial"/>
                <w:sz w:val="20"/>
                <w:szCs w:val="20"/>
              </w:rPr>
              <w:t>,</w:t>
            </w:r>
            <w:r w:rsidRPr="007F26D1">
              <w:rPr>
                <w:rFonts w:ascii="Arial" w:hAnsi="Arial" w:cs="Arial"/>
                <w:sz w:val="20"/>
                <w:szCs w:val="20"/>
              </w:rPr>
              <w:t xml:space="preserve"> and </w:t>
            </w:r>
            <w:r>
              <w:rPr>
                <w:rFonts w:ascii="Arial" w:hAnsi="Arial" w:cs="Arial"/>
                <w:sz w:val="20"/>
                <w:szCs w:val="20"/>
              </w:rPr>
              <w:t xml:space="preserve">will defer and accrue at a </w:t>
            </w:r>
            <w:r w:rsidRPr="007F26D1">
              <w:rPr>
                <w:rFonts w:ascii="Arial" w:hAnsi="Arial" w:cs="Arial"/>
                <w:sz w:val="20"/>
                <w:szCs w:val="20"/>
              </w:rPr>
              <w:t xml:space="preserve">compounded monthly </w:t>
            </w:r>
            <w:r>
              <w:rPr>
                <w:rFonts w:ascii="Arial" w:hAnsi="Arial" w:cs="Arial"/>
                <w:sz w:val="20"/>
                <w:szCs w:val="20"/>
              </w:rPr>
              <w:t xml:space="preserve">rate after </w:t>
            </w:r>
            <w:r w:rsidRPr="007F26D1">
              <w:rPr>
                <w:rFonts w:ascii="Arial" w:hAnsi="Arial" w:cs="Arial"/>
                <w:sz w:val="20"/>
                <w:szCs w:val="20"/>
              </w:rPr>
              <w:t>permanent conversion.  Up to</w:t>
            </w:r>
            <w:r w:rsidRPr="007F26D1">
              <w:rPr>
                <w:rFonts w:ascii="Arial" w:hAnsi="Arial" w:cs="Arial"/>
                <w:color w:val="000000"/>
                <w:sz w:val="20"/>
                <w:szCs w:val="20"/>
              </w:rPr>
              <w:t xml:space="preserve"> an additional 0.25% </w:t>
            </w:r>
            <w:r>
              <w:rPr>
                <w:rFonts w:ascii="Arial" w:hAnsi="Arial" w:cs="Arial"/>
                <w:color w:val="000000"/>
                <w:sz w:val="20"/>
                <w:szCs w:val="20"/>
              </w:rPr>
              <w:t xml:space="preserve">paid </w:t>
            </w:r>
            <w:r w:rsidRPr="007F26D1">
              <w:rPr>
                <w:rFonts w:ascii="Arial" w:hAnsi="Arial" w:cs="Arial"/>
                <w:color w:val="000000"/>
                <w:sz w:val="20"/>
                <w:szCs w:val="20"/>
              </w:rPr>
              <w:t>servicing fee may be applied during construction, as required by construction servicers</w:t>
            </w:r>
            <w:r w:rsidRPr="007F26D1">
              <w:rPr>
                <w:rFonts w:ascii="Arial" w:hAnsi="Arial" w:cs="Arial"/>
                <w:sz w:val="20"/>
                <w:szCs w:val="20"/>
              </w:rPr>
              <w:t xml:space="preserve">. </w:t>
            </w:r>
            <w:r>
              <w:rPr>
                <w:rFonts w:ascii="Arial" w:hAnsi="Arial" w:cs="Arial"/>
                <w:sz w:val="20"/>
                <w:szCs w:val="20"/>
              </w:rPr>
              <w:t xml:space="preserve"> All deferred and accrued interest from the construction and permanent periods will be due as</w:t>
            </w:r>
            <w:r w:rsidRPr="007F26D1">
              <w:rPr>
                <w:rFonts w:ascii="Arial" w:hAnsi="Arial" w:cs="Arial"/>
                <w:sz w:val="20"/>
                <w:szCs w:val="20"/>
              </w:rPr>
              <w:t xml:space="preserve"> a balloon at maturity.  HPD may reduce the interest rate below AFR in return for extended affordability or additional permanent affordability.</w:t>
            </w:r>
            <w:r>
              <w:rPr>
                <w:rFonts w:ascii="Arial" w:hAnsi="Arial" w:cs="Arial"/>
                <w:sz w:val="20"/>
                <w:szCs w:val="20"/>
              </w:rPr>
              <w:t xml:space="preserve">  HPD reserves the right to offer loans under different terms at its sole discretion.</w:t>
            </w:r>
          </w:p>
          <w:p w14:paraId="70007839" w14:textId="77777777" w:rsidR="004E3356" w:rsidRPr="007F26D1" w:rsidRDefault="004E3356">
            <w:pPr>
              <w:tabs>
                <w:tab w:val="left" w:pos="0"/>
                <w:tab w:val="left" w:pos="1080"/>
                <w:tab w:val="left" w:pos="2520"/>
                <w:tab w:val="left" w:pos="2880"/>
                <w:tab w:val="left" w:pos="3240"/>
                <w:tab w:val="left" w:pos="3960"/>
                <w:tab w:val="left" w:pos="4680"/>
                <w:tab w:val="left" w:pos="5400"/>
                <w:tab w:val="left" w:pos="6120"/>
                <w:tab w:val="left" w:pos="6840"/>
                <w:tab w:val="left" w:pos="7560"/>
                <w:tab w:val="left" w:pos="8280"/>
                <w:tab w:val="left" w:pos="9720"/>
                <w:tab w:val="left" w:pos="10440"/>
                <w:tab w:val="left" w:pos="10800"/>
              </w:tabs>
              <w:suppressAutoHyphens/>
              <w:overflowPunct w:val="0"/>
              <w:autoSpaceDE w:val="0"/>
              <w:autoSpaceDN w:val="0"/>
              <w:adjustRightInd w:val="0"/>
              <w:jc w:val="both"/>
              <w:textAlignment w:val="baseline"/>
              <w:rPr>
                <w:rFonts w:ascii="Arial" w:hAnsi="Arial" w:cs="Arial"/>
                <w:sz w:val="20"/>
                <w:szCs w:val="20"/>
              </w:rPr>
            </w:pPr>
          </w:p>
        </w:tc>
      </w:tr>
      <w:tr w:rsidR="00795B6E" w:rsidRPr="007F26D1" w14:paraId="2C7E2B3B" w14:textId="77777777" w:rsidTr="34030362">
        <w:trPr>
          <w:trHeight w:val="1052"/>
        </w:trPr>
        <w:tc>
          <w:tcPr>
            <w:tcW w:w="1602" w:type="dxa"/>
            <w:tcBorders>
              <w:top w:val="dotted" w:sz="4" w:space="0" w:color="auto"/>
              <w:bottom w:val="dotted" w:sz="4" w:space="0" w:color="auto"/>
              <w:right w:val="dotted" w:sz="4" w:space="0" w:color="auto"/>
            </w:tcBorders>
            <w:shd w:val="clear" w:color="auto" w:fill="auto"/>
          </w:tcPr>
          <w:p w14:paraId="201649A0" w14:textId="77777777" w:rsidR="00795B6E" w:rsidRPr="007F26D1" w:rsidRDefault="00795B6E">
            <w:pPr>
              <w:rPr>
                <w:rFonts w:ascii="Arial" w:hAnsi="Arial" w:cs="Arial"/>
                <w:b/>
                <w:sz w:val="20"/>
                <w:szCs w:val="20"/>
              </w:rPr>
            </w:pPr>
            <w:r>
              <w:rPr>
                <w:rFonts w:ascii="Arial" w:hAnsi="Arial" w:cs="Arial"/>
                <w:b/>
                <w:sz w:val="20"/>
                <w:szCs w:val="20"/>
              </w:rPr>
              <w:t>Acquisition Policy</w:t>
            </w:r>
          </w:p>
        </w:tc>
        <w:tc>
          <w:tcPr>
            <w:tcW w:w="9018" w:type="dxa"/>
            <w:gridSpan w:val="2"/>
            <w:tcBorders>
              <w:top w:val="dotted" w:sz="4" w:space="0" w:color="auto"/>
              <w:left w:val="single" w:sz="8" w:space="0" w:color="auto"/>
              <w:bottom w:val="dotted" w:sz="4" w:space="0" w:color="auto"/>
            </w:tcBorders>
            <w:shd w:val="clear" w:color="auto" w:fill="auto"/>
          </w:tcPr>
          <w:p w14:paraId="12133B4C" w14:textId="77777777" w:rsidR="00795B6E" w:rsidRDefault="00795B6E">
            <w:pPr>
              <w:jc w:val="both"/>
              <w:rPr>
                <w:rFonts w:ascii="Arial" w:hAnsi="Arial" w:cs="Arial"/>
                <w:sz w:val="20"/>
                <w:szCs w:val="20"/>
              </w:rPr>
            </w:pPr>
            <w:r w:rsidRPr="007F26D1">
              <w:rPr>
                <w:rFonts w:ascii="Arial" w:hAnsi="Arial" w:cs="Arial"/>
                <w:sz w:val="20"/>
                <w:szCs w:val="20"/>
              </w:rPr>
              <w:t xml:space="preserve">Acquisition costs for privately owned land will be reviewed by HPD and may be approved at the lesser of the purchase price or up to appraised value. </w:t>
            </w:r>
            <w:r>
              <w:rPr>
                <w:rFonts w:ascii="Arial" w:hAnsi="Arial" w:cs="Arial"/>
                <w:sz w:val="20"/>
                <w:szCs w:val="20"/>
              </w:rPr>
              <w:t xml:space="preserve">If a site was rezoned prior to development, HPD reserves the right to recognize no higher than the pre-rezoning appraised value.  If a sponsor requests to recognize an acquisition price than the above policy would permit, a seller’s note or alternate source(s) must be included to offset the difference.  </w:t>
            </w:r>
          </w:p>
          <w:p w14:paraId="06D6809F" w14:textId="77777777" w:rsidR="00795B6E" w:rsidRDefault="00795B6E">
            <w:pPr>
              <w:jc w:val="both"/>
              <w:rPr>
                <w:rFonts w:ascii="Arial" w:hAnsi="Arial" w:cs="Arial"/>
                <w:sz w:val="20"/>
                <w:szCs w:val="20"/>
              </w:rPr>
            </w:pPr>
          </w:p>
          <w:p w14:paraId="6E10F51A" w14:textId="77777777" w:rsidR="00795B6E" w:rsidRDefault="00795B6E">
            <w:pPr>
              <w:jc w:val="both"/>
              <w:rPr>
                <w:rFonts w:ascii="Arial" w:hAnsi="Arial" w:cs="Arial"/>
                <w:sz w:val="20"/>
                <w:szCs w:val="20"/>
              </w:rPr>
            </w:pPr>
            <w:r>
              <w:rPr>
                <w:rFonts w:ascii="Arial" w:hAnsi="Arial" w:cs="Arial"/>
                <w:sz w:val="20"/>
                <w:szCs w:val="20"/>
              </w:rPr>
              <w:t>Acquisition, predevelopment, and carrying costs must be split between the various project components (e.g. affordable residential, market residential, non-residential) in a manner satisfactory to HPD.</w:t>
            </w:r>
          </w:p>
          <w:p w14:paraId="1B97E022" w14:textId="77777777" w:rsidR="00795B6E" w:rsidRPr="007F26D1" w:rsidRDefault="00795B6E">
            <w:pPr>
              <w:rPr>
                <w:rFonts w:ascii="Arial" w:hAnsi="Arial" w:cs="Arial"/>
                <w:sz w:val="20"/>
                <w:szCs w:val="20"/>
              </w:rPr>
            </w:pPr>
          </w:p>
        </w:tc>
      </w:tr>
      <w:tr w:rsidR="004B3044" w:rsidRPr="007F26D1" w14:paraId="64267866" w14:textId="77777777" w:rsidTr="34030362">
        <w:trPr>
          <w:gridAfter w:val="1"/>
          <w:wAfter w:w="18" w:type="dxa"/>
        </w:trPr>
        <w:tc>
          <w:tcPr>
            <w:tcW w:w="1602" w:type="dxa"/>
          </w:tcPr>
          <w:p w14:paraId="340463D8" w14:textId="77777777" w:rsidR="004B3044" w:rsidRPr="007F26D1" w:rsidRDefault="004B3044">
            <w:pPr>
              <w:rPr>
                <w:rFonts w:ascii="Arial" w:hAnsi="Arial" w:cs="Arial"/>
                <w:b/>
                <w:sz w:val="20"/>
                <w:szCs w:val="20"/>
              </w:rPr>
            </w:pPr>
            <w:r w:rsidRPr="007F26D1">
              <w:rPr>
                <w:rFonts w:ascii="Arial" w:hAnsi="Arial" w:cs="Arial"/>
                <w:b/>
                <w:sz w:val="20"/>
                <w:szCs w:val="20"/>
              </w:rPr>
              <w:t>Brownfield Sites</w:t>
            </w:r>
          </w:p>
          <w:p w14:paraId="277720A0" w14:textId="77777777" w:rsidR="004B3044" w:rsidRPr="007F26D1" w:rsidRDefault="004B3044">
            <w:pPr>
              <w:spacing w:before="120"/>
              <w:rPr>
                <w:rFonts w:ascii="Arial" w:hAnsi="Arial" w:cs="Arial"/>
                <w:b/>
                <w:sz w:val="20"/>
                <w:szCs w:val="20"/>
              </w:rPr>
            </w:pPr>
          </w:p>
        </w:tc>
        <w:tc>
          <w:tcPr>
            <w:tcW w:w="9000" w:type="dxa"/>
          </w:tcPr>
          <w:p w14:paraId="202B54B9" w14:textId="77777777" w:rsidR="004B3044" w:rsidRDefault="004B3044">
            <w:pPr>
              <w:jc w:val="both"/>
              <w:rPr>
                <w:rFonts w:ascii="Arial" w:hAnsi="Arial" w:cs="Arial"/>
                <w:sz w:val="20"/>
                <w:szCs w:val="20"/>
              </w:rPr>
            </w:pPr>
            <w:r w:rsidRPr="007F26D1">
              <w:rPr>
                <w:rFonts w:ascii="Arial" w:hAnsi="Arial" w:cs="Arial"/>
                <w:sz w:val="20"/>
                <w:szCs w:val="20"/>
              </w:rPr>
              <w:t>Sites that qualify for the New York State Brownfield Cleanup Program will be expected to capitalize costs associated with the remediation work on the development budget. Developers will be required to syndicate or directly purchase the associated Brownfield Tax Credits and provide as an equity source to offset HPD subsidy.</w:t>
            </w:r>
            <w:r>
              <w:rPr>
                <w:rFonts w:ascii="Arial" w:hAnsi="Arial" w:cs="Arial"/>
                <w:sz w:val="20"/>
                <w:szCs w:val="20"/>
              </w:rPr>
              <w:t xml:space="preserve">  Excess Brownfield proceeds not underwritten in the project budget must be split with the City as approved by HPD.</w:t>
            </w:r>
          </w:p>
          <w:p w14:paraId="395DF255" w14:textId="77777777" w:rsidR="004B3044" w:rsidRPr="007F26D1" w:rsidRDefault="004B3044">
            <w:pPr>
              <w:jc w:val="both"/>
              <w:rPr>
                <w:rFonts w:ascii="Arial" w:hAnsi="Arial" w:cs="Arial"/>
                <w:sz w:val="20"/>
                <w:szCs w:val="20"/>
              </w:rPr>
            </w:pPr>
          </w:p>
        </w:tc>
      </w:tr>
      <w:tr w:rsidR="004B3044" w:rsidRPr="007F26D1" w14:paraId="34D00AF6" w14:textId="77777777" w:rsidTr="34030362">
        <w:trPr>
          <w:trHeight w:val="386"/>
        </w:trPr>
        <w:tc>
          <w:tcPr>
            <w:tcW w:w="1602" w:type="dxa"/>
            <w:tcBorders>
              <w:top w:val="dotted" w:sz="4" w:space="0" w:color="auto"/>
              <w:bottom w:val="dotted" w:sz="4" w:space="0" w:color="auto"/>
              <w:right w:val="dotted" w:sz="4" w:space="0" w:color="auto"/>
            </w:tcBorders>
            <w:shd w:val="clear" w:color="auto" w:fill="auto"/>
          </w:tcPr>
          <w:p w14:paraId="32E5D2DF" w14:textId="77777777" w:rsidR="004B3044" w:rsidRPr="007F26D1" w:rsidRDefault="004B3044">
            <w:pPr>
              <w:rPr>
                <w:rFonts w:ascii="Arial" w:hAnsi="Arial" w:cs="Arial"/>
                <w:b/>
                <w:sz w:val="20"/>
                <w:szCs w:val="20"/>
              </w:rPr>
            </w:pPr>
            <w:r>
              <w:rPr>
                <w:rFonts w:ascii="Arial" w:hAnsi="Arial" w:cs="Arial"/>
                <w:b/>
                <w:sz w:val="20"/>
                <w:szCs w:val="20"/>
              </w:rPr>
              <w:t>Opportunity Zone Sites</w:t>
            </w:r>
          </w:p>
        </w:tc>
        <w:tc>
          <w:tcPr>
            <w:tcW w:w="9018" w:type="dxa"/>
            <w:gridSpan w:val="2"/>
            <w:tcBorders>
              <w:top w:val="dotted" w:sz="4" w:space="0" w:color="auto"/>
              <w:left w:val="single" w:sz="8" w:space="0" w:color="auto"/>
              <w:bottom w:val="dotted" w:sz="4" w:space="0" w:color="auto"/>
            </w:tcBorders>
            <w:shd w:val="clear" w:color="auto" w:fill="auto"/>
          </w:tcPr>
          <w:p w14:paraId="35D78B7B" w14:textId="77777777" w:rsidR="004B3044" w:rsidRPr="007F26D1" w:rsidRDefault="004B3044">
            <w:pPr>
              <w:ind w:left="-18"/>
              <w:jc w:val="both"/>
              <w:rPr>
                <w:rFonts w:ascii="Arial" w:hAnsi="Arial" w:cs="Arial"/>
                <w:color w:val="000000"/>
                <w:sz w:val="20"/>
                <w:szCs w:val="20"/>
              </w:rPr>
            </w:pPr>
            <w:r w:rsidRPr="007F26D1">
              <w:rPr>
                <w:rFonts w:ascii="Arial" w:hAnsi="Arial" w:cs="Arial"/>
                <w:color w:val="000000"/>
                <w:sz w:val="20"/>
                <w:szCs w:val="20"/>
              </w:rPr>
              <w:t xml:space="preserve">All projects located in an Opportunity Zone should consider Opportunity Funds as a potential source of equity. Projects that use Opportunity Fund investments must clearly identify the amount of all such investments, the name and location of the Opportunity Fund, and the tax payment implications and benefits for the Opportunity Zone investment.  Any additional federal funding beyond the tax must </w:t>
            </w:r>
            <w:r w:rsidRPr="007F26D1">
              <w:rPr>
                <w:rFonts w:ascii="Arial" w:hAnsi="Arial" w:cs="Arial"/>
                <w:color w:val="000000"/>
                <w:sz w:val="20"/>
                <w:szCs w:val="20"/>
              </w:rPr>
              <w:lastRenderedPageBreak/>
              <w:t>also be disclosed and will be included in the evaluation of the project.  Maps of the designated tracts can be found at this link</w:t>
            </w:r>
            <w:r>
              <w:rPr>
                <w:rFonts w:ascii="Arial" w:hAnsi="Arial" w:cs="Arial"/>
                <w:color w:val="000000"/>
                <w:sz w:val="20"/>
                <w:szCs w:val="20"/>
              </w:rPr>
              <w:t>:</w:t>
            </w:r>
            <w:r w:rsidRPr="007F26D1">
              <w:rPr>
                <w:rFonts w:ascii="Arial" w:hAnsi="Arial" w:cs="Arial"/>
                <w:color w:val="000000"/>
                <w:sz w:val="20"/>
                <w:szCs w:val="20"/>
              </w:rPr>
              <w:t xml:space="preserve"> </w:t>
            </w:r>
            <w:hyperlink r:id="rId13" w:history="1">
              <w:r w:rsidRPr="007F26D1">
                <w:rPr>
                  <w:rStyle w:val="Hyperlink"/>
                  <w:rFonts w:ascii="Arial" w:hAnsi="Arial" w:cs="Arial"/>
                  <w:sz w:val="20"/>
                  <w:szCs w:val="20"/>
                </w:rPr>
                <w:t>https://esd.ny.gov/opportu</w:t>
              </w:r>
              <w:r w:rsidRPr="007F26D1">
                <w:rPr>
                  <w:rStyle w:val="Hyperlink"/>
                  <w:rFonts w:ascii="Arial" w:hAnsi="Arial" w:cs="Arial"/>
                  <w:sz w:val="20"/>
                  <w:szCs w:val="20"/>
                </w:rPr>
                <w:t>n</w:t>
              </w:r>
              <w:r w:rsidRPr="007F26D1">
                <w:rPr>
                  <w:rStyle w:val="Hyperlink"/>
                  <w:rFonts w:ascii="Arial" w:hAnsi="Arial" w:cs="Arial"/>
                  <w:sz w:val="20"/>
                  <w:szCs w:val="20"/>
                </w:rPr>
                <w:t>ity-zones</w:t>
              </w:r>
            </w:hyperlink>
            <w:r>
              <w:rPr>
                <w:rStyle w:val="Hyperlink"/>
                <w:rFonts w:ascii="Arial" w:hAnsi="Arial" w:cs="Arial"/>
                <w:sz w:val="20"/>
                <w:szCs w:val="20"/>
              </w:rPr>
              <w:t>.</w:t>
            </w:r>
          </w:p>
          <w:p w14:paraId="290EB8B0" w14:textId="77777777" w:rsidR="004B3044" w:rsidRPr="007F26D1" w:rsidRDefault="004B3044">
            <w:pPr>
              <w:pStyle w:val="Header"/>
              <w:tabs>
                <w:tab w:val="clear" w:pos="4320"/>
                <w:tab w:val="clear" w:pos="8640"/>
              </w:tabs>
              <w:jc w:val="both"/>
              <w:rPr>
                <w:rFonts w:ascii="Arial" w:hAnsi="Arial" w:cs="Arial"/>
                <w:b/>
                <w:sz w:val="20"/>
                <w:szCs w:val="20"/>
              </w:rPr>
            </w:pPr>
          </w:p>
        </w:tc>
      </w:tr>
      <w:tr w:rsidR="0043744D" w:rsidRPr="007F26D1" w14:paraId="7F8E6AE3" w14:textId="77777777" w:rsidTr="34030362">
        <w:trPr>
          <w:trHeight w:val="602"/>
        </w:trPr>
        <w:tc>
          <w:tcPr>
            <w:tcW w:w="1602" w:type="dxa"/>
          </w:tcPr>
          <w:p w14:paraId="2F7B3180" w14:textId="6A1AEF52" w:rsidR="0043744D" w:rsidRPr="007F26D1" w:rsidRDefault="0043744D">
            <w:pPr>
              <w:rPr>
                <w:rFonts w:ascii="Arial" w:hAnsi="Arial" w:cs="Arial"/>
                <w:b/>
                <w:sz w:val="20"/>
                <w:szCs w:val="20"/>
              </w:rPr>
            </w:pPr>
            <w:r>
              <w:rPr>
                <w:rFonts w:ascii="Arial" w:hAnsi="Arial" w:cs="Arial"/>
                <w:b/>
                <w:sz w:val="20"/>
                <w:szCs w:val="20"/>
              </w:rPr>
              <w:lastRenderedPageBreak/>
              <w:t>Inclusionary Housing</w:t>
            </w:r>
          </w:p>
        </w:tc>
        <w:tc>
          <w:tcPr>
            <w:tcW w:w="9018" w:type="dxa"/>
            <w:gridSpan w:val="2"/>
          </w:tcPr>
          <w:p w14:paraId="428EA6A2" w14:textId="634BECAF" w:rsidR="0043744D" w:rsidRDefault="0043744D">
            <w:pPr>
              <w:pStyle w:val="BodyText3"/>
              <w:spacing w:after="0"/>
              <w:jc w:val="both"/>
              <w:rPr>
                <w:rFonts w:ascii="Arial" w:hAnsi="Arial" w:cs="Arial"/>
                <w:sz w:val="20"/>
                <w:szCs w:val="20"/>
              </w:rPr>
            </w:pPr>
            <w:r>
              <w:rPr>
                <w:rFonts w:ascii="Arial" w:hAnsi="Arial" w:cs="Arial"/>
                <w:sz w:val="20"/>
                <w:szCs w:val="20"/>
              </w:rPr>
              <w:t xml:space="preserve">Projects participating in </w:t>
            </w:r>
            <w:r w:rsidR="00ED298F">
              <w:rPr>
                <w:rFonts w:ascii="Arial" w:hAnsi="Arial" w:cs="Arial"/>
                <w:sz w:val="20"/>
                <w:szCs w:val="20"/>
              </w:rPr>
              <w:t>the Voluntary or Mandatory</w:t>
            </w:r>
            <w:r w:rsidR="00730DAA">
              <w:rPr>
                <w:rFonts w:ascii="Arial" w:hAnsi="Arial" w:cs="Arial"/>
                <w:sz w:val="20"/>
                <w:szCs w:val="20"/>
              </w:rPr>
              <w:t xml:space="preserve"> </w:t>
            </w:r>
            <w:r>
              <w:rPr>
                <w:rFonts w:ascii="Arial" w:hAnsi="Arial" w:cs="Arial"/>
                <w:sz w:val="20"/>
                <w:szCs w:val="20"/>
              </w:rPr>
              <w:t>Inclusionary Housing program</w:t>
            </w:r>
            <w:r w:rsidR="00730DAA">
              <w:rPr>
                <w:rFonts w:ascii="Arial" w:hAnsi="Arial" w:cs="Arial"/>
                <w:sz w:val="20"/>
                <w:szCs w:val="20"/>
              </w:rPr>
              <w:t xml:space="preserve"> must comply with all requirements of </w:t>
            </w:r>
            <w:r w:rsidR="00ED298F">
              <w:rPr>
                <w:rFonts w:ascii="Arial" w:hAnsi="Arial" w:cs="Arial"/>
                <w:sz w:val="20"/>
                <w:szCs w:val="20"/>
              </w:rPr>
              <w:t xml:space="preserve">such </w:t>
            </w:r>
            <w:r w:rsidR="00730DAA">
              <w:rPr>
                <w:rFonts w:ascii="Arial" w:hAnsi="Arial" w:cs="Arial"/>
                <w:sz w:val="20"/>
                <w:szCs w:val="20"/>
              </w:rPr>
              <w:t xml:space="preserve">program, including </w:t>
            </w:r>
            <w:r w:rsidR="00C87B88">
              <w:rPr>
                <w:rFonts w:ascii="Arial" w:hAnsi="Arial" w:cs="Arial"/>
                <w:sz w:val="20"/>
                <w:szCs w:val="20"/>
              </w:rPr>
              <w:t xml:space="preserve">income distribution and stacking </w:t>
            </w:r>
            <w:r w:rsidR="00730DAA">
              <w:rPr>
                <w:rFonts w:ascii="Arial" w:hAnsi="Arial" w:cs="Arial"/>
                <w:sz w:val="20"/>
                <w:szCs w:val="20"/>
              </w:rPr>
              <w:t xml:space="preserve">requirements.  </w:t>
            </w:r>
            <w:r w:rsidR="00772CDC">
              <w:rPr>
                <w:rFonts w:ascii="Arial" w:hAnsi="Arial" w:cs="Arial"/>
                <w:sz w:val="20"/>
                <w:szCs w:val="20"/>
              </w:rPr>
              <w:t>Inclusionary Housing projects receiving</w:t>
            </w:r>
            <w:r w:rsidR="008D1DBA">
              <w:rPr>
                <w:rFonts w:ascii="Arial" w:hAnsi="Arial" w:cs="Arial"/>
                <w:sz w:val="20"/>
                <w:szCs w:val="20"/>
              </w:rPr>
              <w:t xml:space="preserve"> </w:t>
            </w:r>
            <w:r w:rsidR="00772CDC">
              <w:rPr>
                <w:rFonts w:ascii="Arial" w:hAnsi="Arial" w:cs="Arial"/>
                <w:sz w:val="20"/>
                <w:szCs w:val="20"/>
              </w:rPr>
              <w:t>subsidy must assume</w:t>
            </w:r>
            <w:r w:rsidR="00960A65">
              <w:rPr>
                <w:rFonts w:ascii="Arial" w:hAnsi="Arial" w:cs="Arial"/>
                <w:sz w:val="20"/>
                <w:szCs w:val="20"/>
              </w:rPr>
              <w:t xml:space="preserve"> that</w:t>
            </w:r>
            <w:r w:rsidR="00772CDC">
              <w:rPr>
                <w:rFonts w:ascii="Arial" w:hAnsi="Arial" w:cs="Arial"/>
                <w:sz w:val="20"/>
                <w:szCs w:val="20"/>
              </w:rPr>
              <w:t xml:space="preserve"> </w:t>
            </w:r>
            <w:r w:rsidR="0093492B">
              <w:rPr>
                <w:rFonts w:ascii="Arial" w:hAnsi="Arial" w:cs="Arial"/>
                <w:sz w:val="20"/>
                <w:szCs w:val="20"/>
              </w:rPr>
              <w:t xml:space="preserve">an additional 15% of total units </w:t>
            </w:r>
            <w:r w:rsidR="00960A65">
              <w:rPr>
                <w:rFonts w:ascii="Arial" w:hAnsi="Arial" w:cs="Arial"/>
                <w:sz w:val="20"/>
                <w:szCs w:val="20"/>
              </w:rPr>
              <w:t>(above IH requirements) will</w:t>
            </w:r>
            <w:r w:rsidR="0093492B">
              <w:rPr>
                <w:rFonts w:ascii="Arial" w:hAnsi="Arial" w:cs="Arial"/>
                <w:sz w:val="20"/>
                <w:szCs w:val="20"/>
              </w:rPr>
              <w:t xml:space="preserve"> be permanently affordable in return for HPD subsidizing IH units.</w:t>
            </w:r>
            <w:r w:rsidR="00AB304D">
              <w:rPr>
                <w:rFonts w:ascii="Arial" w:hAnsi="Arial" w:cs="Arial"/>
                <w:sz w:val="20"/>
                <w:szCs w:val="20"/>
              </w:rPr>
              <w:t xml:space="preserve"> </w:t>
            </w:r>
            <w:r w:rsidR="00730DAA">
              <w:rPr>
                <w:rFonts w:ascii="Arial" w:hAnsi="Arial" w:cs="Arial"/>
                <w:sz w:val="20"/>
                <w:szCs w:val="20"/>
              </w:rPr>
              <w:t xml:space="preserve">  </w:t>
            </w:r>
          </w:p>
          <w:p w14:paraId="2426CCE0" w14:textId="658EA3EF" w:rsidR="00960A65" w:rsidRPr="007F26D1" w:rsidRDefault="00960A65">
            <w:pPr>
              <w:pStyle w:val="BodyText3"/>
              <w:spacing w:after="0"/>
              <w:jc w:val="both"/>
              <w:rPr>
                <w:rFonts w:ascii="Arial" w:hAnsi="Arial" w:cs="Arial"/>
                <w:sz w:val="20"/>
                <w:szCs w:val="20"/>
              </w:rPr>
            </w:pPr>
          </w:p>
        </w:tc>
      </w:tr>
      <w:tr w:rsidR="00D32229" w:rsidRPr="007F26D1" w14:paraId="42A6DD8D" w14:textId="77777777" w:rsidTr="34030362">
        <w:trPr>
          <w:trHeight w:val="1376"/>
        </w:trPr>
        <w:tc>
          <w:tcPr>
            <w:tcW w:w="1602" w:type="dxa"/>
          </w:tcPr>
          <w:p w14:paraId="7C3D79CF" w14:textId="77777777" w:rsidR="00D32229" w:rsidRPr="007F26D1" w:rsidRDefault="00D32229">
            <w:pPr>
              <w:rPr>
                <w:rFonts w:ascii="Arial" w:hAnsi="Arial" w:cs="Arial"/>
                <w:b/>
                <w:sz w:val="20"/>
                <w:szCs w:val="20"/>
              </w:rPr>
            </w:pPr>
            <w:r w:rsidRPr="007F26D1">
              <w:rPr>
                <w:rFonts w:ascii="Arial" w:hAnsi="Arial" w:cs="Arial"/>
                <w:b/>
                <w:sz w:val="20"/>
                <w:szCs w:val="20"/>
              </w:rPr>
              <w:t>Eligible Borrowers and Sponsors</w:t>
            </w:r>
          </w:p>
          <w:p w14:paraId="5D76E38C" w14:textId="77777777" w:rsidR="00D32229" w:rsidRPr="007F26D1" w:rsidRDefault="00D32229">
            <w:pPr>
              <w:rPr>
                <w:rFonts w:ascii="Arial" w:hAnsi="Arial" w:cs="Arial"/>
                <w:b/>
                <w:sz w:val="20"/>
                <w:szCs w:val="20"/>
              </w:rPr>
            </w:pPr>
          </w:p>
        </w:tc>
        <w:tc>
          <w:tcPr>
            <w:tcW w:w="9018" w:type="dxa"/>
            <w:gridSpan w:val="2"/>
          </w:tcPr>
          <w:p w14:paraId="35045AAF" w14:textId="72C3E0A5" w:rsidR="00D32229" w:rsidRPr="007F26D1" w:rsidRDefault="008D1DBA">
            <w:pPr>
              <w:pStyle w:val="BodyText3"/>
              <w:spacing w:after="0"/>
              <w:jc w:val="both"/>
              <w:rPr>
                <w:rFonts w:ascii="Arial" w:hAnsi="Arial" w:cs="Arial"/>
                <w:sz w:val="20"/>
                <w:szCs w:val="20"/>
              </w:rPr>
            </w:pPr>
            <w:r>
              <w:rPr>
                <w:rFonts w:ascii="Arial" w:hAnsi="Arial" w:cs="Arial"/>
                <w:sz w:val="20"/>
                <w:szCs w:val="20"/>
              </w:rPr>
              <w:t>A</w:t>
            </w:r>
            <w:r w:rsidR="00D32229" w:rsidRPr="007F26D1">
              <w:rPr>
                <w:rFonts w:ascii="Arial" w:hAnsi="Arial" w:cs="Arial"/>
                <w:sz w:val="20"/>
                <w:szCs w:val="20"/>
              </w:rPr>
              <w:t xml:space="preserve"> borrower must be a Housing Development Fund Corporation either alone or in partnership with non-profit entities, for-profit Developers, limited partnerships, corporations, trusts, joint ventures, or limited liability companies. The development team must have demonstrated a track record of successfully developing, marketing, and managing the type of project proposed or must form a joint venture with an entity with such expertise. Borrowers must demonstrate sufficient financial stability and liquidity to construct and operate the project.</w:t>
            </w:r>
          </w:p>
          <w:p w14:paraId="0317C9D7" w14:textId="77777777" w:rsidR="00D32229" w:rsidRPr="007F26D1" w:rsidRDefault="00D32229">
            <w:pPr>
              <w:pStyle w:val="BodyText3"/>
              <w:spacing w:after="0"/>
              <w:jc w:val="both"/>
              <w:rPr>
                <w:rFonts w:ascii="Arial" w:hAnsi="Arial" w:cs="Arial"/>
                <w:sz w:val="20"/>
                <w:szCs w:val="20"/>
              </w:rPr>
            </w:pPr>
          </w:p>
        </w:tc>
      </w:tr>
      <w:tr w:rsidR="00741815" w:rsidRPr="007F26D1" w14:paraId="386B22C9" w14:textId="77777777" w:rsidTr="34030362">
        <w:tblPrEx>
          <w:tblBorders>
            <w:top w:val="dotted" w:sz="4" w:space="0" w:color="auto"/>
            <w:bottom w:val="dotted" w:sz="4" w:space="0" w:color="auto"/>
          </w:tblBorders>
        </w:tblPrEx>
        <w:trPr>
          <w:gridAfter w:val="1"/>
          <w:wAfter w:w="18" w:type="dxa"/>
          <w:trHeight w:val="1088"/>
        </w:trPr>
        <w:tc>
          <w:tcPr>
            <w:tcW w:w="1602" w:type="dxa"/>
            <w:tcBorders>
              <w:top w:val="dotted" w:sz="4" w:space="0" w:color="auto"/>
              <w:bottom w:val="dotted" w:sz="4" w:space="0" w:color="auto"/>
            </w:tcBorders>
          </w:tcPr>
          <w:p w14:paraId="081C5DF2" w14:textId="5F0592CA" w:rsidR="00741815" w:rsidRPr="007F26D1" w:rsidRDefault="00741815" w:rsidP="48A0672C">
            <w:pPr>
              <w:rPr>
                <w:rFonts w:ascii="Arial" w:hAnsi="Arial" w:cs="Arial"/>
                <w:b/>
                <w:bCs/>
                <w:sz w:val="20"/>
                <w:szCs w:val="20"/>
              </w:rPr>
            </w:pPr>
            <w:r w:rsidRPr="48A0672C">
              <w:rPr>
                <w:rFonts w:ascii="Arial" w:hAnsi="Arial" w:cs="Arial"/>
                <w:b/>
                <w:bCs/>
                <w:sz w:val="20"/>
                <w:szCs w:val="20"/>
              </w:rPr>
              <w:t>Design and Construction Requirements</w:t>
            </w:r>
          </w:p>
        </w:tc>
        <w:tc>
          <w:tcPr>
            <w:tcW w:w="9000" w:type="dxa"/>
            <w:tcBorders>
              <w:top w:val="dotted" w:sz="4" w:space="0" w:color="auto"/>
              <w:bottom w:val="dotted" w:sz="4" w:space="0" w:color="auto"/>
            </w:tcBorders>
          </w:tcPr>
          <w:p w14:paraId="434CCD21" w14:textId="78B87297" w:rsidR="00741815" w:rsidRDefault="00741815" w:rsidP="00D2449C">
            <w:pPr>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t xml:space="preserve">The affordable component of the Project must meet </w:t>
            </w:r>
            <w:hyperlink r:id="rId14" w:history="1">
              <w:r w:rsidRPr="007F26D1">
                <w:rPr>
                  <w:rFonts w:ascii="Arial" w:eastAsia="Calibri" w:hAnsi="Arial" w:cs="Arial"/>
                  <w:color w:val="0563C1"/>
                  <w:sz w:val="20"/>
                  <w:szCs w:val="20"/>
                  <w:u w:val="single"/>
                </w:rPr>
                <w:t>HPD Design Guidelines for New Construction</w:t>
              </w:r>
            </w:hyperlink>
            <w:r w:rsidRPr="007F26D1">
              <w:rPr>
                <w:rFonts w:ascii="Arial" w:hAnsi="Arial" w:cs="Arial"/>
                <w:sz w:val="20"/>
                <w:szCs w:val="20"/>
              </w:rPr>
              <w:t xml:space="preserve"> and plans must be approved by HPD. HPD also strongly encourages the incorporation of the critical success factors outlined in </w:t>
            </w:r>
            <w:hyperlink r:id="rId15" w:history="1">
              <w:r w:rsidRPr="007F26D1">
                <w:rPr>
                  <w:rStyle w:val="Hyperlink"/>
                  <w:rFonts w:ascii="Arial" w:hAnsi="Arial" w:cs="Arial"/>
                  <w:sz w:val="20"/>
                  <w:szCs w:val="20"/>
                </w:rPr>
                <w:t>“Laying the Groundwork: Design Guidelines for Retail and Other Ground-Floor Uses in Mixed-U</w:t>
              </w:r>
              <w:r w:rsidRPr="007F26D1">
                <w:rPr>
                  <w:rStyle w:val="Hyperlink"/>
                  <w:rFonts w:ascii="Arial" w:hAnsi="Arial" w:cs="Arial"/>
                  <w:sz w:val="20"/>
                  <w:szCs w:val="20"/>
                </w:rPr>
                <w:t>s</w:t>
              </w:r>
              <w:r w:rsidRPr="007F26D1">
                <w:rPr>
                  <w:rStyle w:val="Hyperlink"/>
                  <w:rFonts w:ascii="Arial" w:hAnsi="Arial" w:cs="Arial"/>
                  <w:sz w:val="20"/>
                  <w:szCs w:val="20"/>
                </w:rPr>
                <w:t>e Affordable Housing Developments</w:t>
              </w:r>
            </w:hyperlink>
            <w:r w:rsidRPr="007F26D1">
              <w:rPr>
                <w:rFonts w:ascii="Arial" w:hAnsi="Arial" w:cs="Arial"/>
                <w:sz w:val="20"/>
                <w:szCs w:val="20"/>
              </w:rPr>
              <w:t>”.</w:t>
            </w:r>
          </w:p>
          <w:p w14:paraId="2443E8A1" w14:textId="77777777" w:rsidR="00D2449C" w:rsidRPr="007F26D1" w:rsidRDefault="00D2449C" w:rsidP="00D2449C">
            <w:pPr>
              <w:overflowPunct w:val="0"/>
              <w:autoSpaceDE w:val="0"/>
              <w:autoSpaceDN w:val="0"/>
              <w:adjustRightInd w:val="0"/>
              <w:jc w:val="both"/>
              <w:textAlignment w:val="baseline"/>
              <w:rPr>
                <w:rFonts w:ascii="Arial" w:hAnsi="Arial" w:cs="Arial"/>
                <w:sz w:val="20"/>
                <w:szCs w:val="20"/>
              </w:rPr>
            </w:pPr>
          </w:p>
          <w:tbl>
            <w:tblPr>
              <w:tblpPr w:leftFromText="180" w:rightFromText="180" w:vertAnchor="text" w:horzAnchor="margin" w:tblpXSpec="right" w:tblpY="-12193"/>
              <w:tblOverlap w:val="never"/>
              <w:tblW w:w="0" w:type="auto"/>
              <w:tblLayout w:type="fixed"/>
              <w:tblLook w:val="0000" w:firstRow="0" w:lastRow="0" w:firstColumn="0" w:lastColumn="0" w:noHBand="0" w:noVBand="0"/>
            </w:tblPr>
            <w:tblGrid>
              <w:gridCol w:w="1183"/>
              <w:gridCol w:w="2106"/>
              <w:gridCol w:w="236"/>
            </w:tblGrid>
            <w:tr w:rsidR="002F52CF" w:rsidRPr="007F26D1" w14:paraId="5C76ABCD" w14:textId="77777777">
              <w:trPr>
                <w:gridAfter w:val="1"/>
                <w:wAfter w:w="236" w:type="dxa"/>
                <w:trHeight w:val="255"/>
              </w:trPr>
              <w:tc>
                <w:tcPr>
                  <w:tcW w:w="3289" w:type="dxa"/>
                  <w:gridSpan w:val="2"/>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bottom"/>
                </w:tcPr>
                <w:p w14:paraId="6996E25B" w14:textId="44013A9D" w:rsidR="002F52CF" w:rsidRPr="007F26D1" w:rsidRDefault="002F52CF" w:rsidP="002F52CF">
                  <w:pPr>
                    <w:jc w:val="both"/>
                    <w:rPr>
                      <w:rFonts w:ascii="Arial" w:hAnsi="Arial" w:cs="Arial"/>
                      <w:b/>
                      <w:color w:val="FFFFFF" w:themeColor="background1"/>
                      <w:sz w:val="20"/>
                      <w:szCs w:val="20"/>
                    </w:rPr>
                  </w:pPr>
                  <w:r>
                    <w:rPr>
                      <w:rFonts w:ascii="Arial" w:hAnsi="Arial" w:cs="Arial"/>
                      <w:b/>
                      <w:color w:val="FFFFFF" w:themeColor="background1"/>
                      <w:sz w:val="20"/>
                      <w:szCs w:val="20"/>
                    </w:rPr>
                    <w:t>Table 3: Unit Size Requirements</w:t>
                  </w:r>
                </w:p>
              </w:tc>
            </w:tr>
            <w:tr w:rsidR="00741815" w:rsidRPr="007F26D1" w14:paraId="1014601A" w14:textId="77777777">
              <w:trPr>
                <w:gridAfter w:val="1"/>
                <w:wAfter w:w="236" w:type="dxa"/>
                <w:trHeight w:val="255"/>
              </w:trPr>
              <w:tc>
                <w:tcPr>
                  <w:tcW w:w="1183" w:type="dxa"/>
                  <w:tcBorders>
                    <w:top w:val="single" w:sz="8" w:space="0" w:color="auto"/>
                    <w:left w:val="single" w:sz="8" w:space="0" w:color="auto"/>
                    <w:bottom w:val="single" w:sz="8" w:space="0" w:color="auto"/>
                    <w:right w:val="single" w:sz="4" w:space="0" w:color="auto"/>
                  </w:tcBorders>
                  <w:shd w:val="clear" w:color="auto" w:fill="808080" w:themeFill="background1" w:themeFillShade="80"/>
                  <w:noWrap/>
                  <w:vAlign w:val="bottom"/>
                </w:tcPr>
                <w:p w14:paraId="74663803" w14:textId="77777777" w:rsidR="00741815" w:rsidRPr="007F26D1" w:rsidRDefault="00741815" w:rsidP="00D2449C">
                  <w:pPr>
                    <w:jc w:val="both"/>
                    <w:rPr>
                      <w:rFonts w:ascii="Arial" w:hAnsi="Arial" w:cs="Arial"/>
                      <w:b/>
                      <w:color w:val="FFFFFF" w:themeColor="background1"/>
                      <w:sz w:val="20"/>
                      <w:szCs w:val="20"/>
                    </w:rPr>
                  </w:pPr>
                  <w:r w:rsidRPr="007F26D1">
                    <w:rPr>
                      <w:rFonts w:ascii="Arial" w:hAnsi="Arial" w:cs="Arial"/>
                      <w:b/>
                      <w:color w:val="FFFFFF" w:themeColor="background1"/>
                      <w:sz w:val="20"/>
                      <w:szCs w:val="20"/>
                    </w:rPr>
                    <w:t>Unit Type</w:t>
                  </w:r>
                </w:p>
              </w:tc>
              <w:tc>
                <w:tcPr>
                  <w:tcW w:w="2106" w:type="dxa"/>
                  <w:tcBorders>
                    <w:top w:val="single" w:sz="8" w:space="0" w:color="auto"/>
                    <w:left w:val="nil"/>
                    <w:bottom w:val="single" w:sz="8" w:space="0" w:color="auto"/>
                    <w:right w:val="single" w:sz="8" w:space="0" w:color="auto"/>
                  </w:tcBorders>
                  <w:shd w:val="clear" w:color="auto" w:fill="808080" w:themeFill="background1" w:themeFillShade="80"/>
                  <w:noWrap/>
                  <w:vAlign w:val="bottom"/>
                </w:tcPr>
                <w:p w14:paraId="107FC0CE" w14:textId="77777777" w:rsidR="00741815" w:rsidRPr="007F26D1" w:rsidRDefault="00741815" w:rsidP="00D2449C">
                  <w:pPr>
                    <w:jc w:val="both"/>
                    <w:rPr>
                      <w:rFonts w:ascii="Arial" w:hAnsi="Arial" w:cs="Arial"/>
                      <w:b/>
                      <w:color w:val="FFFFFF" w:themeColor="background1"/>
                      <w:sz w:val="20"/>
                      <w:szCs w:val="20"/>
                    </w:rPr>
                  </w:pPr>
                  <w:r w:rsidRPr="007F26D1">
                    <w:rPr>
                      <w:rFonts w:ascii="Arial" w:hAnsi="Arial" w:cs="Arial"/>
                      <w:b/>
                      <w:color w:val="FFFFFF" w:themeColor="background1"/>
                      <w:sz w:val="20"/>
                      <w:szCs w:val="20"/>
                    </w:rPr>
                    <w:t>Net Square Footage</w:t>
                  </w:r>
                </w:p>
              </w:tc>
            </w:tr>
            <w:tr w:rsidR="00741815" w:rsidRPr="007F26D1" w14:paraId="23A75DC7" w14:textId="77777777">
              <w:trPr>
                <w:trHeight w:val="255"/>
              </w:trPr>
              <w:tc>
                <w:tcPr>
                  <w:tcW w:w="11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8B780EF" w14:textId="77777777" w:rsidR="00741815" w:rsidRPr="007F26D1" w:rsidRDefault="00741815" w:rsidP="00D2449C">
                  <w:pPr>
                    <w:jc w:val="center"/>
                    <w:rPr>
                      <w:rFonts w:ascii="Arial" w:hAnsi="Arial" w:cs="Arial"/>
                      <w:sz w:val="20"/>
                      <w:szCs w:val="20"/>
                    </w:rPr>
                  </w:pPr>
                  <w:r w:rsidRPr="007F26D1">
                    <w:rPr>
                      <w:rFonts w:ascii="Arial" w:hAnsi="Arial" w:cs="Arial"/>
                      <w:sz w:val="20"/>
                      <w:szCs w:val="20"/>
                    </w:rPr>
                    <w:t>Studio</w:t>
                  </w:r>
                </w:p>
              </w:tc>
              <w:tc>
                <w:tcPr>
                  <w:tcW w:w="2106" w:type="dxa"/>
                  <w:tcBorders>
                    <w:top w:val="single" w:sz="8" w:space="0" w:color="auto"/>
                    <w:left w:val="nil"/>
                    <w:bottom w:val="single" w:sz="4" w:space="0" w:color="auto"/>
                    <w:right w:val="single" w:sz="8" w:space="0" w:color="auto"/>
                  </w:tcBorders>
                  <w:shd w:val="clear" w:color="auto" w:fill="auto"/>
                  <w:noWrap/>
                  <w:vAlign w:val="bottom"/>
                </w:tcPr>
                <w:p w14:paraId="32DA5992" w14:textId="77777777" w:rsidR="00741815" w:rsidRPr="007F26D1" w:rsidRDefault="00741815" w:rsidP="00D2449C">
                  <w:pPr>
                    <w:jc w:val="both"/>
                    <w:rPr>
                      <w:rFonts w:ascii="Arial" w:hAnsi="Arial" w:cs="Arial"/>
                      <w:sz w:val="20"/>
                      <w:szCs w:val="20"/>
                    </w:rPr>
                  </w:pPr>
                  <w:r w:rsidRPr="007F26D1">
                    <w:rPr>
                      <w:rFonts w:ascii="Arial" w:hAnsi="Arial" w:cs="Arial"/>
                      <w:sz w:val="20"/>
                      <w:szCs w:val="20"/>
                    </w:rPr>
                    <w:t>350 - 400 sq. ft.</w:t>
                  </w:r>
                </w:p>
              </w:tc>
              <w:tc>
                <w:tcPr>
                  <w:tcW w:w="236" w:type="dxa"/>
                  <w:vAlign w:val="bottom"/>
                </w:tcPr>
                <w:p w14:paraId="7DAAFC8B" w14:textId="77777777" w:rsidR="00741815" w:rsidRPr="007F26D1" w:rsidRDefault="00741815" w:rsidP="00D2449C">
                  <w:pPr>
                    <w:jc w:val="both"/>
                    <w:rPr>
                      <w:rFonts w:ascii="Arial" w:hAnsi="Arial" w:cs="Arial"/>
                      <w:sz w:val="20"/>
                      <w:szCs w:val="20"/>
                    </w:rPr>
                  </w:pPr>
                </w:p>
              </w:tc>
            </w:tr>
            <w:tr w:rsidR="00741815" w:rsidRPr="007F26D1" w14:paraId="62E6BF30" w14:textId="77777777">
              <w:trPr>
                <w:gridAfter w:val="1"/>
                <w:wAfter w:w="236" w:type="dxa"/>
                <w:trHeight w:val="255"/>
              </w:trPr>
              <w:tc>
                <w:tcPr>
                  <w:tcW w:w="1183" w:type="dxa"/>
                  <w:tcBorders>
                    <w:top w:val="nil"/>
                    <w:left w:val="single" w:sz="8" w:space="0" w:color="auto"/>
                    <w:bottom w:val="single" w:sz="4" w:space="0" w:color="auto"/>
                    <w:right w:val="single" w:sz="4" w:space="0" w:color="auto"/>
                  </w:tcBorders>
                  <w:shd w:val="clear" w:color="auto" w:fill="auto"/>
                  <w:noWrap/>
                  <w:vAlign w:val="bottom"/>
                </w:tcPr>
                <w:p w14:paraId="66C569BE" w14:textId="77777777" w:rsidR="00741815" w:rsidRPr="007F26D1" w:rsidRDefault="00741815" w:rsidP="00D2449C">
                  <w:pPr>
                    <w:jc w:val="center"/>
                    <w:rPr>
                      <w:rFonts w:ascii="Arial" w:hAnsi="Arial" w:cs="Arial"/>
                      <w:sz w:val="20"/>
                      <w:szCs w:val="20"/>
                    </w:rPr>
                  </w:pPr>
                  <w:r w:rsidRPr="007F26D1">
                    <w:rPr>
                      <w:rFonts w:ascii="Arial" w:hAnsi="Arial" w:cs="Arial"/>
                      <w:sz w:val="20"/>
                      <w:szCs w:val="20"/>
                    </w:rPr>
                    <w:t>1 BR</w:t>
                  </w:r>
                </w:p>
              </w:tc>
              <w:tc>
                <w:tcPr>
                  <w:tcW w:w="2106" w:type="dxa"/>
                  <w:tcBorders>
                    <w:top w:val="nil"/>
                    <w:left w:val="nil"/>
                    <w:bottom w:val="single" w:sz="4" w:space="0" w:color="auto"/>
                    <w:right w:val="single" w:sz="8" w:space="0" w:color="auto"/>
                  </w:tcBorders>
                  <w:shd w:val="clear" w:color="auto" w:fill="auto"/>
                  <w:noWrap/>
                  <w:vAlign w:val="bottom"/>
                </w:tcPr>
                <w:p w14:paraId="3E767EAE" w14:textId="77777777" w:rsidR="00741815" w:rsidRPr="007F26D1" w:rsidRDefault="00741815" w:rsidP="00D2449C">
                  <w:pPr>
                    <w:jc w:val="both"/>
                    <w:rPr>
                      <w:rFonts w:ascii="Arial" w:hAnsi="Arial" w:cs="Arial"/>
                      <w:sz w:val="20"/>
                      <w:szCs w:val="20"/>
                    </w:rPr>
                  </w:pPr>
                  <w:r w:rsidRPr="007F26D1">
                    <w:rPr>
                      <w:rFonts w:ascii="Arial" w:hAnsi="Arial" w:cs="Arial"/>
                      <w:sz w:val="20"/>
                      <w:szCs w:val="20"/>
                    </w:rPr>
                    <w:t>500 - 550 sq. ft.</w:t>
                  </w:r>
                </w:p>
              </w:tc>
            </w:tr>
            <w:tr w:rsidR="00741815" w:rsidRPr="007F26D1" w14:paraId="4692A3B4" w14:textId="77777777">
              <w:trPr>
                <w:gridAfter w:val="1"/>
                <w:wAfter w:w="236" w:type="dxa"/>
                <w:trHeight w:val="255"/>
              </w:trPr>
              <w:tc>
                <w:tcPr>
                  <w:tcW w:w="1183" w:type="dxa"/>
                  <w:tcBorders>
                    <w:top w:val="nil"/>
                    <w:left w:val="single" w:sz="8" w:space="0" w:color="auto"/>
                    <w:bottom w:val="single" w:sz="8" w:space="0" w:color="auto"/>
                    <w:right w:val="single" w:sz="4" w:space="0" w:color="auto"/>
                  </w:tcBorders>
                  <w:shd w:val="clear" w:color="auto" w:fill="auto"/>
                  <w:noWrap/>
                  <w:vAlign w:val="bottom"/>
                </w:tcPr>
                <w:p w14:paraId="49417672" w14:textId="77777777" w:rsidR="00741815" w:rsidRPr="007F26D1" w:rsidRDefault="00741815" w:rsidP="00D2449C">
                  <w:pPr>
                    <w:jc w:val="center"/>
                    <w:rPr>
                      <w:rFonts w:ascii="Arial" w:hAnsi="Arial" w:cs="Arial"/>
                      <w:sz w:val="20"/>
                      <w:szCs w:val="20"/>
                    </w:rPr>
                  </w:pPr>
                  <w:r w:rsidRPr="007F26D1">
                    <w:rPr>
                      <w:rFonts w:ascii="Arial" w:hAnsi="Arial" w:cs="Arial"/>
                      <w:sz w:val="20"/>
                      <w:szCs w:val="20"/>
                    </w:rPr>
                    <w:t>2 BR</w:t>
                  </w:r>
                </w:p>
              </w:tc>
              <w:tc>
                <w:tcPr>
                  <w:tcW w:w="2106" w:type="dxa"/>
                  <w:tcBorders>
                    <w:top w:val="nil"/>
                    <w:left w:val="nil"/>
                    <w:bottom w:val="single" w:sz="8" w:space="0" w:color="auto"/>
                    <w:right w:val="single" w:sz="8" w:space="0" w:color="auto"/>
                  </w:tcBorders>
                  <w:shd w:val="clear" w:color="auto" w:fill="auto"/>
                  <w:noWrap/>
                  <w:vAlign w:val="bottom"/>
                </w:tcPr>
                <w:p w14:paraId="6F69BD5E" w14:textId="77777777" w:rsidR="00741815" w:rsidRPr="007F26D1" w:rsidRDefault="00741815" w:rsidP="00D2449C">
                  <w:pPr>
                    <w:jc w:val="both"/>
                    <w:rPr>
                      <w:rFonts w:ascii="Arial" w:hAnsi="Arial" w:cs="Arial"/>
                      <w:sz w:val="20"/>
                      <w:szCs w:val="20"/>
                    </w:rPr>
                  </w:pPr>
                  <w:r w:rsidRPr="007F26D1">
                    <w:rPr>
                      <w:rFonts w:ascii="Arial" w:hAnsi="Arial" w:cs="Arial"/>
                      <w:sz w:val="20"/>
                      <w:szCs w:val="20"/>
                    </w:rPr>
                    <w:t>650 - 725 sq. ft.</w:t>
                  </w:r>
                </w:p>
              </w:tc>
            </w:tr>
            <w:tr w:rsidR="00741815" w:rsidRPr="007F26D1" w14:paraId="67448152" w14:textId="77777777">
              <w:trPr>
                <w:gridAfter w:val="1"/>
                <w:wAfter w:w="236" w:type="dxa"/>
                <w:trHeight w:val="270"/>
              </w:trPr>
              <w:tc>
                <w:tcPr>
                  <w:tcW w:w="118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29F013E" w14:textId="77777777" w:rsidR="00741815" w:rsidRPr="007F26D1" w:rsidRDefault="00741815" w:rsidP="00D2449C">
                  <w:pPr>
                    <w:jc w:val="center"/>
                    <w:rPr>
                      <w:rFonts w:ascii="Arial" w:hAnsi="Arial" w:cs="Arial"/>
                      <w:sz w:val="20"/>
                      <w:szCs w:val="20"/>
                    </w:rPr>
                  </w:pPr>
                  <w:r w:rsidRPr="007F26D1">
                    <w:rPr>
                      <w:rFonts w:ascii="Arial" w:hAnsi="Arial" w:cs="Arial"/>
                      <w:sz w:val="20"/>
                      <w:szCs w:val="20"/>
                    </w:rPr>
                    <w:t>3 BR</w:t>
                  </w:r>
                </w:p>
              </w:tc>
              <w:tc>
                <w:tcPr>
                  <w:tcW w:w="210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8FF5AA0" w14:textId="77777777" w:rsidR="00741815" w:rsidRPr="007F26D1" w:rsidRDefault="00741815" w:rsidP="00D2449C">
                  <w:pPr>
                    <w:jc w:val="both"/>
                    <w:rPr>
                      <w:rFonts w:ascii="Arial" w:hAnsi="Arial" w:cs="Arial"/>
                      <w:sz w:val="20"/>
                      <w:szCs w:val="20"/>
                    </w:rPr>
                  </w:pPr>
                  <w:r w:rsidRPr="007F26D1">
                    <w:rPr>
                      <w:rFonts w:ascii="Arial" w:hAnsi="Arial" w:cs="Arial"/>
                      <w:sz w:val="20"/>
                      <w:szCs w:val="20"/>
                    </w:rPr>
                    <w:t>850 - 950 sq. ft.</w:t>
                  </w:r>
                </w:p>
              </w:tc>
            </w:tr>
            <w:tr w:rsidR="00741815" w:rsidRPr="007F26D1" w14:paraId="53B76149" w14:textId="77777777">
              <w:trPr>
                <w:gridAfter w:val="1"/>
                <w:wAfter w:w="236" w:type="dxa"/>
                <w:trHeight w:val="270"/>
              </w:trPr>
              <w:tc>
                <w:tcPr>
                  <w:tcW w:w="118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22056C" w14:textId="77777777" w:rsidR="00741815" w:rsidRPr="007F26D1" w:rsidRDefault="00741815" w:rsidP="00D2449C">
                  <w:pPr>
                    <w:jc w:val="center"/>
                    <w:rPr>
                      <w:rFonts w:ascii="Arial" w:hAnsi="Arial" w:cs="Arial"/>
                      <w:sz w:val="20"/>
                      <w:szCs w:val="20"/>
                    </w:rPr>
                  </w:pPr>
                  <w:r w:rsidRPr="007F26D1">
                    <w:rPr>
                      <w:rFonts w:ascii="Arial" w:hAnsi="Arial" w:cs="Arial"/>
                      <w:sz w:val="20"/>
                      <w:szCs w:val="20"/>
                    </w:rPr>
                    <w:t>4 BR</w:t>
                  </w:r>
                </w:p>
              </w:tc>
              <w:tc>
                <w:tcPr>
                  <w:tcW w:w="210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636E9E3" w14:textId="77777777" w:rsidR="00741815" w:rsidRPr="007F26D1" w:rsidRDefault="00741815" w:rsidP="00D2449C">
                  <w:pPr>
                    <w:jc w:val="both"/>
                    <w:rPr>
                      <w:rFonts w:ascii="Arial" w:hAnsi="Arial" w:cs="Arial"/>
                      <w:sz w:val="20"/>
                      <w:szCs w:val="20"/>
                    </w:rPr>
                  </w:pPr>
                  <w:r w:rsidRPr="007F26D1">
                    <w:rPr>
                      <w:rFonts w:ascii="Arial" w:hAnsi="Arial" w:cs="Arial"/>
                      <w:sz w:val="20"/>
                      <w:szCs w:val="20"/>
                    </w:rPr>
                    <w:t>950 - 1,075 sq. ft.</w:t>
                  </w:r>
                </w:p>
              </w:tc>
            </w:tr>
          </w:tbl>
          <w:p w14:paraId="3D1C13B9" w14:textId="3286C744" w:rsidR="00741815" w:rsidRDefault="00741815" w:rsidP="00D2449C">
            <w:pPr>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t>HPD will approve unit distribution. Affordable components of Projects are suggested to have a minimum of 15% one-bedroom, a minimum of 30% two-bedroom or larger, and a maximum of 25% studio units. Projects that include supportive housing units for singles may be allowed to exceed the 25% studio threshold.</w:t>
            </w:r>
            <w:r w:rsidR="002F52CF">
              <w:rPr>
                <w:rFonts w:ascii="Arial" w:hAnsi="Arial" w:cs="Arial"/>
                <w:sz w:val="20"/>
                <w:szCs w:val="20"/>
              </w:rPr>
              <w:t xml:space="preserve">  Affordable units are expected to meet the </w:t>
            </w:r>
            <w:r w:rsidR="00A6718F">
              <w:rPr>
                <w:rFonts w:ascii="Arial" w:hAnsi="Arial" w:cs="Arial"/>
                <w:sz w:val="20"/>
                <w:szCs w:val="20"/>
              </w:rPr>
              <w:t xml:space="preserve">unit </w:t>
            </w:r>
            <w:r w:rsidR="002F52CF">
              <w:rPr>
                <w:rFonts w:ascii="Arial" w:hAnsi="Arial" w:cs="Arial"/>
                <w:sz w:val="20"/>
                <w:szCs w:val="20"/>
              </w:rPr>
              <w:t xml:space="preserve">size </w:t>
            </w:r>
            <w:r w:rsidR="00A6718F">
              <w:rPr>
                <w:rFonts w:ascii="Arial" w:hAnsi="Arial" w:cs="Arial"/>
                <w:sz w:val="20"/>
                <w:szCs w:val="20"/>
              </w:rPr>
              <w:t>requirements as described in the HPD Design Guidelines and Table 3 herein.</w:t>
            </w:r>
          </w:p>
          <w:p w14:paraId="3467EC8C" w14:textId="77777777" w:rsidR="00612E8B" w:rsidRDefault="00612E8B" w:rsidP="00D2449C">
            <w:pPr>
              <w:overflowPunct w:val="0"/>
              <w:autoSpaceDE w:val="0"/>
              <w:autoSpaceDN w:val="0"/>
              <w:adjustRightInd w:val="0"/>
              <w:jc w:val="both"/>
              <w:textAlignment w:val="baseline"/>
              <w:rPr>
                <w:rFonts w:ascii="Arial" w:hAnsi="Arial" w:cs="Arial"/>
                <w:sz w:val="20"/>
                <w:szCs w:val="20"/>
              </w:rPr>
            </w:pPr>
          </w:p>
          <w:p w14:paraId="5684BB0B" w14:textId="4BDA8124" w:rsidR="00612E8B" w:rsidRDefault="11CBA808" w:rsidP="00D2449C">
            <w:pPr>
              <w:overflowPunct w:val="0"/>
              <w:autoSpaceDE w:val="0"/>
              <w:autoSpaceDN w:val="0"/>
              <w:adjustRightInd w:val="0"/>
              <w:jc w:val="both"/>
              <w:textAlignment w:val="baseline"/>
              <w:rPr>
                <w:rFonts w:ascii="Arial" w:hAnsi="Arial" w:cs="Arial"/>
                <w:sz w:val="20"/>
                <w:szCs w:val="20"/>
              </w:rPr>
            </w:pPr>
            <w:r w:rsidRPr="47DB94BA">
              <w:rPr>
                <w:rFonts w:ascii="Arial" w:hAnsi="Arial" w:cs="Arial"/>
                <w:sz w:val="20"/>
                <w:szCs w:val="20"/>
              </w:rPr>
              <w:t xml:space="preserve">Affordable units must be distributed throughout the </w:t>
            </w:r>
            <w:r w:rsidR="0DFDFAD3" w:rsidRPr="47DB94BA">
              <w:rPr>
                <w:rFonts w:ascii="Arial" w:hAnsi="Arial" w:cs="Arial"/>
                <w:sz w:val="20"/>
                <w:szCs w:val="20"/>
              </w:rPr>
              <w:t>project</w:t>
            </w:r>
            <w:r w:rsidRPr="47DB94BA">
              <w:rPr>
                <w:rFonts w:ascii="Arial" w:hAnsi="Arial" w:cs="Arial"/>
                <w:sz w:val="20"/>
                <w:szCs w:val="20"/>
              </w:rPr>
              <w:t xml:space="preserve"> vertically and horizontally in a manner acceptable to HPD.  Common laundry facilities must be provided if individual apartment washer/dryer units are not provided.  Parity must be achieved when providing building amenities and determining the use of such spaces by residents of the affordable units.</w:t>
            </w:r>
          </w:p>
          <w:p w14:paraId="26B953A6" w14:textId="77777777" w:rsidR="00D2449C" w:rsidRPr="007F26D1" w:rsidRDefault="00D2449C" w:rsidP="00D2449C">
            <w:pPr>
              <w:overflowPunct w:val="0"/>
              <w:autoSpaceDE w:val="0"/>
              <w:autoSpaceDN w:val="0"/>
              <w:adjustRightInd w:val="0"/>
              <w:jc w:val="both"/>
              <w:textAlignment w:val="baseline"/>
              <w:rPr>
                <w:rFonts w:ascii="Arial" w:hAnsi="Arial" w:cs="Arial"/>
                <w:sz w:val="20"/>
                <w:szCs w:val="20"/>
              </w:rPr>
            </w:pPr>
          </w:p>
          <w:p w14:paraId="13B5A7AD" w14:textId="77777777" w:rsidR="002F52CF" w:rsidRDefault="002F52CF" w:rsidP="002F52CF">
            <w:pPr>
              <w:overflowPunct w:val="0"/>
              <w:autoSpaceDE w:val="0"/>
              <w:autoSpaceDN w:val="0"/>
              <w:adjustRightInd w:val="0"/>
              <w:ind w:right="-18"/>
              <w:jc w:val="both"/>
              <w:textAlignment w:val="baseline"/>
              <w:rPr>
                <w:rFonts w:ascii="Arial" w:hAnsi="Arial" w:cs="Arial"/>
                <w:sz w:val="20"/>
                <w:szCs w:val="20"/>
              </w:rPr>
            </w:pPr>
            <w:r w:rsidRPr="007F26D1">
              <w:rPr>
                <w:rFonts w:ascii="Arial" w:hAnsi="Arial" w:cs="Arial"/>
                <w:sz w:val="20"/>
                <w:szCs w:val="20"/>
              </w:rPr>
              <w:t xml:space="preserve">Projects must be in full compliance with the design requirements of all applicable laws, including, but not limited to, the </w:t>
            </w:r>
            <w:r w:rsidRPr="007F26D1">
              <w:rPr>
                <w:rFonts w:ascii="Arial" w:hAnsi="Arial" w:cs="Arial"/>
                <w:i/>
                <w:sz w:val="20"/>
                <w:szCs w:val="20"/>
              </w:rPr>
              <w:t>New York City Zoning Resolution</w:t>
            </w:r>
            <w:r w:rsidRPr="007F26D1">
              <w:rPr>
                <w:rFonts w:ascii="Arial" w:hAnsi="Arial" w:cs="Arial"/>
                <w:sz w:val="20"/>
                <w:szCs w:val="20"/>
              </w:rPr>
              <w:t xml:space="preserve">, the </w:t>
            </w:r>
            <w:r w:rsidRPr="007F26D1">
              <w:rPr>
                <w:rFonts w:ascii="Arial" w:hAnsi="Arial" w:cs="Arial"/>
                <w:i/>
                <w:sz w:val="20"/>
                <w:szCs w:val="20"/>
              </w:rPr>
              <w:t>New York City Building Code</w:t>
            </w:r>
            <w:r w:rsidRPr="007F26D1">
              <w:rPr>
                <w:rFonts w:ascii="Arial" w:hAnsi="Arial" w:cs="Arial"/>
                <w:sz w:val="20"/>
                <w:szCs w:val="20"/>
              </w:rPr>
              <w:t xml:space="preserve">, the </w:t>
            </w:r>
            <w:r w:rsidRPr="007F26D1">
              <w:rPr>
                <w:rFonts w:ascii="Arial" w:hAnsi="Arial" w:cs="Arial"/>
                <w:i/>
                <w:sz w:val="20"/>
                <w:szCs w:val="20"/>
              </w:rPr>
              <w:t>New York City Housing Maintenance code</w:t>
            </w:r>
            <w:r w:rsidRPr="007F26D1">
              <w:rPr>
                <w:rFonts w:ascii="Arial" w:hAnsi="Arial" w:cs="Arial"/>
                <w:sz w:val="20"/>
                <w:szCs w:val="20"/>
              </w:rPr>
              <w:t xml:space="preserve">, the </w:t>
            </w:r>
            <w:r w:rsidRPr="007F26D1">
              <w:rPr>
                <w:rFonts w:ascii="Arial" w:hAnsi="Arial" w:cs="Arial"/>
                <w:i/>
                <w:sz w:val="20"/>
                <w:szCs w:val="20"/>
              </w:rPr>
              <w:t>New York State Multiple Dwelling Law</w:t>
            </w:r>
            <w:r w:rsidRPr="007F26D1">
              <w:rPr>
                <w:rFonts w:ascii="Arial" w:hAnsi="Arial" w:cs="Arial"/>
                <w:sz w:val="20"/>
                <w:szCs w:val="20"/>
              </w:rPr>
              <w:t xml:space="preserve">, the </w:t>
            </w:r>
            <w:r w:rsidRPr="007F26D1">
              <w:rPr>
                <w:rFonts w:ascii="Arial" w:hAnsi="Arial" w:cs="Arial"/>
                <w:i/>
                <w:sz w:val="20"/>
                <w:szCs w:val="20"/>
              </w:rPr>
              <w:t>Fair Housing Act</w:t>
            </w:r>
            <w:r w:rsidRPr="007F26D1">
              <w:rPr>
                <w:rFonts w:ascii="Arial" w:hAnsi="Arial" w:cs="Arial"/>
                <w:sz w:val="20"/>
                <w:szCs w:val="20"/>
              </w:rPr>
              <w:t xml:space="preserve">, and </w:t>
            </w:r>
            <w:r w:rsidRPr="007F26D1">
              <w:rPr>
                <w:rFonts w:ascii="Arial" w:hAnsi="Arial" w:cs="Arial"/>
                <w:i/>
                <w:sz w:val="20"/>
                <w:szCs w:val="20"/>
              </w:rPr>
              <w:t>Section 504 of the Rehabilitation Act of 1973</w:t>
            </w:r>
            <w:r w:rsidRPr="007F26D1">
              <w:rPr>
                <w:rFonts w:ascii="Arial" w:hAnsi="Arial" w:cs="Arial"/>
                <w:sz w:val="20"/>
                <w:szCs w:val="20"/>
              </w:rPr>
              <w:t xml:space="preserve">. Projects receiving New York State Homes and Community Renewal (HCR) funding must also comply with the </w:t>
            </w:r>
            <w:r w:rsidRPr="007F26D1">
              <w:rPr>
                <w:rFonts w:ascii="Arial" w:hAnsi="Arial" w:cs="Arial"/>
                <w:i/>
                <w:sz w:val="20"/>
                <w:szCs w:val="20"/>
              </w:rPr>
              <w:t xml:space="preserve">HCR Design Guidelines, </w:t>
            </w:r>
            <w:r w:rsidRPr="007F26D1">
              <w:rPr>
                <w:rFonts w:ascii="Arial" w:hAnsi="Arial" w:cs="Arial"/>
                <w:sz w:val="20"/>
                <w:szCs w:val="20"/>
              </w:rPr>
              <w:t>as applicable.</w:t>
            </w:r>
          </w:p>
          <w:p w14:paraId="3580A559" w14:textId="77777777" w:rsidR="002F52CF" w:rsidRDefault="002F52CF" w:rsidP="00D2449C">
            <w:pPr>
              <w:overflowPunct w:val="0"/>
              <w:autoSpaceDE w:val="0"/>
              <w:autoSpaceDN w:val="0"/>
              <w:adjustRightInd w:val="0"/>
              <w:ind w:right="-18"/>
              <w:jc w:val="both"/>
              <w:textAlignment w:val="baseline"/>
              <w:rPr>
                <w:rFonts w:ascii="Arial" w:hAnsi="Arial" w:cs="Arial"/>
                <w:sz w:val="20"/>
                <w:szCs w:val="20"/>
              </w:rPr>
            </w:pPr>
          </w:p>
          <w:p w14:paraId="30B9C467" w14:textId="7DC095DB" w:rsidR="00D2449C" w:rsidRPr="007F26D1" w:rsidRDefault="002F52CF" w:rsidP="00D2449C">
            <w:pPr>
              <w:overflowPunct w:val="0"/>
              <w:autoSpaceDE w:val="0"/>
              <w:autoSpaceDN w:val="0"/>
              <w:adjustRightInd w:val="0"/>
              <w:ind w:right="-18"/>
              <w:jc w:val="both"/>
              <w:textAlignment w:val="baseline"/>
              <w:rPr>
                <w:rFonts w:ascii="Arial" w:hAnsi="Arial" w:cs="Arial"/>
                <w:sz w:val="20"/>
                <w:szCs w:val="20"/>
              </w:rPr>
            </w:pPr>
            <w:r w:rsidRPr="007F26D1">
              <w:rPr>
                <w:rFonts w:ascii="Arial" w:hAnsi="Arial" w:cs="Arial"/>
                <w:sz w:val="20"/>
                <w:szCs w:val="20"/>
              </w:rPr>
              <w:t>HPD may at its discretion require competitive bidding for general contractors</w:t>
            </w:r>
            <w:r w:rsidR="00A6718F">
              <w:rPr>
                <w:rFonts w:ascii="Arial" w:hAnsi="Arial" w:cs="Arial"/>
                <w:sz w:val="20"/>
                <w:szCs w:val="20"/>
              </w:rPr>
              <w:t xml:space="preserve">.  </w:t>
            </w:r>
            <w:r w:rsidR="00741815" w:rsidRPr="007F26D1">
              <w:rPr>
                <w:rFonts w:ascii="Arial" w:hAnsi="Arial" w:cs="Arial"/>
                <w:sz w:val="20"/>
                <w:szCs w:val="20"/>
              </w:rPr>
              <w:t>HPD reserves the right to participate in construction monitoring.</w:t>
            </w:r>
            <w:r w:rsidR="00A10164">
              <w:rPr>
                <w:rFonts w:ascii="Arial" w:hAnsi="Arial" w:cs="Arial"/>
                <w:sz w:val="20"/>
                <w:szCs w:val="20"/>
              </w:rPr>
              <w:t xml:space="preserve"> </w:t>
            </w:r>
          </w:p>
          <w:p w14:paraId="6754B9DC" w14:textId="61B06D98" w:rsidR="00D2449C" w:rsidRPr="007F26D1" w:rsidRDefault="00D2449C" w:rsidP="002F52CF">
            <w:pPr>
              <w:overflowPunct w:val="0"/>
              <w:autoSpaceDE w:val="0"/>
              <w:autoSpaceDN w:val="0"/>
              <w:adjustRightInd w:val="0"/>
              <w:ind w:right="-18"/>
              <w:jc w:val="both"/>
              <w:textAlignment w:val="baseline"/>
              <w:rPr>
                <w:rFonts w:ascii="Arial" w:hAnsi="Arial" w:cs="Arial"/>
                <w:sz w:val="20"/>
                <w:szCs w:val="20"/>
              </w:rPr>
            </w:pPr>
          </w:p>
        </w:tc>
      </w:tr>
      <w:tr w:rsidR="00D90D22" w:rsidRPr="007F26D1" w14:paraId="5DB59B6C" w14:textId="77777777" w:rsidTr="34030362">
        <w:trPr>
          <w:trHeight w:val="1052"/>
        </w:trPr>
        <w:tc>
          <w:tcPr>
            <w:tcW w:w="1602" w:type="dxa"/>
            <w:tcBorders>
              <w:top w:val="dotted" w:sz="4" w:space="0" w:color="auto"/>
              <w:bottom w:val="dotted" w:sz="4" w:space="0" w:color="auto"/>
              <w:right w:val="dotted" w:sz="4" w:space="0" w:color="auto"/>
            </w:tcBorders>
            <w:shd w:val="clear" w:color="auto" w:fill="auto"/>
          </w:tcPr>
          <w:p w14:paraId="3334345F" w14:textId="77777777" w:rsidR="00D90D22" w:rsidRDefault="00D90D22">
            <w:pPr>
              <w:rPr>
                <w:rFonts w:ascii="Arial" w:hAnsi="Arial" w:cs="Arial"/>
                <w:b/>
                <w:sz w:val="20"/>
                <w:szCs w:val="20"/>
              </w:rPr>
            </w:pPr>
            <w:r>
              <w:rPr>
                <w:rFonts w:ascii="Arial" w:hAnsi="Arial" w:cs="Arial"/>
                <w:b/>
                <w:sz w:val="20"/>
                <w:szCs w:val="20"/>
              </w:rPr>
              <w:t>Sustainability &amp; Resiliency</w:t>
            </w:r>
          </w:p>
        </w:tc>
        <w:tc>
          <w:tcPr>
            <w:tcW w:w="9018" w:type="dxa"/>
            <w:gridSpan w:val="2"/>
            <w:tcBorders>
              <w:top w:val="dotted" w:sz="4" w:space="0" w:color="auto"/>
              <w:left w:val="single" w:sz="8" w:space="0" w:color="auto"/>
              <w:bottom w:val="dotted" w:sz="4" w:space="0" w:color="auto"/>
            </w:tcBorders>
            <w:shd w:val="clear" w:color="auto" w:fill="auto"/>
          </w:tcPr>
          <w:p w14:paraId="74C9F780" w14:textId="77777777" w:rsidR="00D90D22" w:rsidRDefault="00D90D22" w:rsidP="009A24D4">
            <w:pPr>
              <w:overflowPunct w:val="0"/>
              <w:autoSpaceDE w:val="0"/>
              <w:autoSpaceDN w:val="0"/>
              <w:adjustRightInd w:val="0"/>
              <w:ind w:right="-14"/>
              <w:jc w:val="both"/>
              <w:textAlignment w:val="baseline"/>
              <w:rPr>
                <w:rStyle w:val="Hyperlink"/>
                <w:rFonts w:ascii="Arial" w:hAnsi="Arial" w:cs="Arial"/>
                <w:sz w:val="20"/>
                <w:szCs w:val="20"/>
              </w:rPr>
            </w:pPr>
            <w:r w:rsidRPr="007F26D1">
              <w:rPr>
                <w:rFonts w:ascii="Arial" w:hAnsi="Arial" w:cs="Arial"/>
                <w:sz w:val="20"/>
                <w:szCs w:val="20"/>
              </w:rPr>
              <w:t xml:space="preserve">All projects must achieve Green Communities Green Certification. The Green Communities Criteria and Certification portal is available online at </w:t>
            </w:r>
            <w:hyperlink r:id="rId16" w:history="1">
              <w:r w:rsidRPr="007F26D1">
                <w:rPr>
                  <w:rStyle w:val="Hyperlink"/>
                  <w:rFonts w:ascii="Arial" w:hAnsi="Arial" w:cs="Arial"/>
                  <w:sz w:val="20"/>
                  <w:szCs w:val="20"/>
                </w:rPr>
                <w:t>http://www.green</w:t>
              </w:r>
              <w:r w:rsidRPr="007F26D1">
                <w:rPr>
                  <w:rStyle w:val="Hyperlink"/>
                  <w:rFonts w:ascii="Arial" w:hAnsi="Arial" w:cs="Arial"/>
                  <w:sz w:val="20"/>
                  <w:szCs w:val="20"/>
                </w:rPr>
                <w:t>c</w:t>
              </w:r>
              <w:r w:rsidRPr="007F26D1">
                <w:rPr>
                  <w:rStyle w:val="Hyperlink"/>
                  <w:rFonts w:ascii="Arial" w:hAnsi="Arial" w:cs="Arial"/>
                  <w:sz w:val="20"/>
                  <w:szCs w:val="20"/>
                </w:rPr>
                <w:t>ommunitiesonline.org/</w:t>
              </w:r>
            </w:hyperlink>
          </w:p>
          <w:p w14:paraId="0328F0C9" w14:textId="77777777" w:rsidR="00D90D22" w:rsidRPr="007F26D1" w:rsidRDefault="00D90D22" w:rsidP="009A24D4">
            <w:pPr>
              <w:overflowPunct w:val="0"/>
              <w:autoSpaceDE w:val="0"/>
              <w:autoSpaceDN w:val="0"/>
              <w:adjustRightInd w:val="0"/>
              <w:ind w:right="-14"/>
              <w:jc w:val="both"/>
              <w:textAlignment w:val="baseline"/>
              <w:rPr>
                <w:rStyle w:val="Hyperlink"/>
                <w:rFonts w:ascii="Arial" w:hAnsi="Arial" w:cs="Arial"/>
                <w:sz w:val="20"/>
                <w:szCs w:val="20"/>
              </w:rPr>
            </w:pPr>
          </w:p>
          <w:p w14:paraId="54AA13E1" w14:textId="77777777" w:rsidR="00D90D22" w:rsidRPr="007F26D1" w:rsidRDefault="00D90D22" w:rsidP="009A24D4">
            <w:pPr>
              <w:overflowPunct w:val="0"/>
              <w:autoSpaceDE w:val="0"/>
              <w:autoSpaceDN w:val="0"/>
              <w:adjustRightInd w:val="0"/>
              <w:ind w:right="-14"/>
              <w:jc w:val="both"/>
              <w:textAlignment w:val="baseline"/>
              <w:rPr>
                <w:rFonts w:ascii="Arial" w:hAnsi="Arial" w:cs="Arial"/>
                <w:sz w:val="20"/>
                <w:szCs w:val="20"/>
              </w:rPr>
            </w:pPr>
            <w:r w:rsidRPr="007F26D1">
              <w:rPr>
                <w:rFonts w:ascii="Arial" w:hAnsi="Arial" w:cs="Arial"/>
                <w:sz w:val="20"/>
                <w:szCs w:val="20"/>
              </w:rPr>
              <w:t xml:space="preserve">All projects will be required to retain a qualified benchmarking service provider to track utility usage for heating, electric and water. The HPD Benchmarking and Performance Tracking Protocol is available online at </w:t>
            </w:r>
            <w:hyperlink r:id="rId17" w:history="1">
              <w:r w:rsidRPr="00D1768D">
                <w:rPr>
                  <w:rStyle w:val="Hyperlink"/>
                  <w:rFonts w:ascii="Arial" w:hAnsi="Arial" w:cs="Arial"/>
                  <w:sz w:val="20"/>
                  <w:szCs w:val="20"/>
                </w:rPr>
                <w:t>https://www1.nyc.gov/site/hpd/services-and-informa</w:t>
              </w:r>
              <w:r w:rsidRPr="00D1768D">
                <w:rPr>
                  <w:rStyle w:val="Hyperlink"/>
                  <w:rFonts w:ascii="Arial" w:hAnsi="Arial" w:cs="Arial"/>
                  <w:sz w:val="20"/>
                  <w:szCs w:val="20"/>
                </w:rPr>
                <w:t>t</w:t>
              </w:r>
              <w:r w:rsidRPr="00D1768D">
                <w:rPr>
                  <w:rStyle w:val="Hyperlink"/>
                  <w:rFonts w:ascii="Arial" w:hAnsi="Arial" w:cs="Arial"/>
                  <w:sz w:val="20"/>
                  <w:szCs w:val="20"/>
                </w:rPr>
                <w:t>ion/benchmarking-protocol.page</w:t>
              </w:r>
            </w:hyperlink>
          </w:p>
          <w:p w14:paraId="1BC975CF" w14:textId="77777777" w:rsidR="00D90D22" w:rsidRDefault="00D90D22" w:rsidP="009A24D4">
            <w:pPr>
              <w:jc w:val="both"/>
              <w:rPr>
                <w:rFonts w:ascii="Arial" w:hAnsi="Arial" w:cs="Arial"/>
                <w:sz w:val="20"/>
                <w:szCs w:val="20"/>
              </w:rPr>
            </w:pPr>
          </w:p>
          <w:p w14:paraId="1AB9533A" w14:textId="77777777" w:rsidR="00D90D22" w:rsidRDefault="00D90D22" w:rsidP="009A24D4">
            <w:pPr>
              <w:jc w:val="both"/>
              <w:rPr>
                <w:rStyle w:val="Hyperlink"/>
                <w:rFonts w:ascii="Arial" w:hAnsi="Arial" w:cs="Arial"/>
                <w:sz w:val="20"/>
                <w:szCs w:val="20"/>
              </w:rPr>
            </w:pPr>
            <w:r w:rsidRPr="007F26D1">
              <w:rPr>
                <w:rFonts w:ascii="Arial" w:hAnsi="Arial" w:cs="Arial"/>
                <w:sz w:val="20"/>
                <w:szCs w:val="20"/>
              </w:rPr>
              <w:t xml:space="preserve">New York City Building Code regulations for construction in flood hazard areas are changing and will affect construction requirements for future development.  To reduce risk, the agency may impose additional hazard mitigation requirements.  Developers should verify and disclose if they are in the </w:t>
            </w:r>
            <w:r w:rsidRPr="007F26D1">
              <w:rPr>
                <w:rFonts w:ascii="Arial" w:hAnsi="Arial" w:cs="Arial"/>
                <w:sz w:val="20"/>
                <w:szCs w:val="20"/>
              </w:rPr>
              <w:lastRenderedPageBreak/>
              <w:t xml:space="preserve">100 year or 500-year flood plain. This information must be confirmed by a licensed surveyor, but Developers can perform an initial check here: </w:t>
            </w:r>
            <w:hyperlink r:id="rId18" w:history="1">
              <w:r w:rsidRPr="007F26D1">
                <w:rPr>
                  <w:rStyle w:val="Hyperlink"/>
                  <w:rFonts w:ascii="Arial" w:hAnsi="Arial" w:cs="Arial"/>
                  <w:sz w:val="20"/>
                  <w:szCs w:val="20"/>
                </w:rPr>
                <w:t>www.nyc.gov/flood</w:t>
              </w:r>
              <w:r w:rsidRPr="007F26D1">
                <w:rPr>
                  <w:rStyle w:val="Hyperlink"/>
                  <w:rFonts w:ascii="Arial" w:hAnsi="Arial" w:cs="Arial"/>
                  <w:sz w:val="20"/>
                  <w:szCs w:val="20"/>
                </w:rPr>
                <w:t>h</w:t>
              </w:r>
              <w:r w:rsidRPr="007F26D1">
                <w:rPr>
                  <w:rStyle w:val="Hyperlink"/>
                  <w:rFonts w:ascii="Arial" w:hAnsi="Arial" w:cs="Arial"/>
                  <w:sz w:val="20"/>
                  <w:szCs w:val="20"/>
                </w:rPr>
                <w:t>azardmapper</w:t>
              </w:r>
            </w:hyperlink>
            <w:r>
              <w:rPr>
                <w:rStyle w:val="Hyperlink"/>
                <w:rFonts w:ascii="Arial" w:hAnsi="Arial" w:cs="Arial"/>
                <w:sz w:val="20"/>
                <w:szCs w:val="20"/>
              </w:rPr>
              <w:t>.</w:t>
            </w:r>
          </w:p>
          <w:p w14:paraId="52BAA76B" w14:textId="77777777" w:rsidR="00D90D22" w:rsidRPr="007F26D1" w:rsidRDefault="00D90D22" w:rsidP="009A24D4">
            <w:pPr>
              <w:jc w:val="both"/>
              <w:rPr>
                <w:rFonts w:ascii="Arial" w:hAnsi="Arial" w:cs="Arial"/>
                <w:sz w:val="20"/>
                <w:szCs w:val="20"/>
              </w:rPr>
            </w:pPr>
          </w:p>
        </w:tc>
      </w:tr>
      <w:tr w:rsidR="00F57D83" w:rsidRPr="007F26D1" w14:paraId="34741E74" w14:textId="77777777" w:rsidTr="34030362">
        <w:tblPrEx>
          <w:tblBorders>
            <w:top w:val="dotted" w:sz="4" w:space="0" w:color="auto"/>
            <w:bottom w:val="dotted" w:sz="4" w:space="0" w:color="auto"/>
          </w:tblBorders>
        </w:tblPrEx>
        <w:trPr>
          <w:gridAfter w:val="1"/>
          <w:wAfter w:w="18" w:type="dxa"/>
          <w:trHeight w:val="539"/>
        </w:trPr>
        <w:tc>
          <w:tcPr>
            <w:tcW w:w="1602" w:type="dxa"/>
            <w:tcBorders>
              <w:top w:val="dotted" w:sz="4" w:space="0" w:color="auto"/>
              <w:bottom w:val="dotted" w:sz="4" w:space="0" w:color="auto"/>
            </w:tcBorders>
          </w:tcPr>
          <w:p w14:paraId="655E1651" w14:textId="77777777" w:rsidR="00F57D83" w:rsidRPr="007F26D1" w:rsidRDefault="00F57D83">
            <w:pPr>
              <w:rPr>
                <w:rFonts w:ascii="Arial" w:hAnsi="Arial" w:cs="Arial"/>
                <w:b/>
                <w:sz w:val="20"/>
                <w:szCs w:val="20"/>
              </w:rPr>
            </w:pPr>
            <w:r w:rsidRPr="007F26D1">
              <w:rPr>
                <w:rFonts w:ascii="Arial" w:hAnsi="Arial" w:cs="Arial"/>
                <w:b/>
                <w:sz w:val="20"/>
                <w:szCs w:val="20"/>
              </w:rPr>
              <w:lastRenderedPageBreak/>
              <w:t>Closing Requirements</w:t>
            </w:r>
          </w:p>
        </w:tc>
        <w:tc>
          <w:tcPr>
            <w:tcW w:w="9000" w:type="dxa"/>
            <w:tcBorders>
              <w:top w:val="dotted" w:sz="4" w:space="0" w:color="auto"/>
              <w:bottom w:val="dotted" w:sz="4" w:space="0" w:color="auto"/>
            </w:tcBorders>
          </w:tcPr>
          <w:p w14:paraId="658B035B" w14:textId="77777777" w:rsidR="00F57D83" w:rsidRPr="007F26D1" w:rsidRDefault="00F57D83" w:rsidP="009A24D4">
            <w:pPr>
              <w:ind w:right="-18"/>
              <w:jc w:val="both"/>
              <w:rPr>
                <w:rFonts w:ascii="Arial" w:hAnsi="Arial" w:cs="Arial"/>
                <w:sz w:val="20"/>
                <w:szCs w:val="20"/>
              </w:rPr>
            </w:pPr>
            <w:r w:rsidRPr="007F26D1">
              <w:rPr>
                <w:rFonts w:ascii="Arial" w:hAnsi="Arial" w:cs="Arial"/>
                <w:sz w:val="20"/>
                <w:szCs w:val="20"/>
              </w:rPr>
              <w:t>Closing requirements prior to construction loan closing include (but are not limited to):</w:t>
            </w:r>
          </w:p>
          <w:p w14:paraId="210CA369" w14:textId="77777777" w:rsidR="00F57D83" w:rsidRPr="007F26D1" w:rsidRDefault="00F57D83" w:rsidP="009A24D4">
            <w:pPr>
              <w:ind w:right="-18"/>
              <w:jc w:val="both"/>
              <w:rPr>
                <w:rFonts w:ascii="Arial" w:hAnsi="Arial" w:cs="Arial"/>
                <w:sz w:val="20"/>
                <w:szCs w:val="20"/>
              </w:rPr>
            </w:pPr>
          </w:p>
          <w:p w14:paraId="7CE5B574" w14:textId="77777777" w:rsidR="00F57D83" w:rsidRDefault="00F57D83" w:rsidP="009A24D4">
            <w:pPr>
              <w:numPr>
                <w:ilvl w:val="0"/>
                <w:numId w:val="23"/>
              </w:numPr>
              <w:tabs>
                <w:tab w:val="num" w:pos="438"/>
              </w:tabs>
              <w:overflowPunct w:val="0"/>
              <w:autoSpaceDE w:val="0"/>
              <w:autoSpaceDN w:val="0"/>
              <w:adjustRightInd w:val="0"/>
              <w:ind w:left="432" w:right="-18" w:hanging="432"/>
              <w:jc w:val="both"/>
              <w:textAlignment w:val="baseline"/>
              <w:rPr>
                <w:rFonts w:ascii="Arial" w:hAnsi="Arial" w:cs="Arial"/>
                <w:i/>
                <w:sz w:val="20"/>
                <w:szCs w:val="20"/>
              </w:rPr>
            </w:pPr>
            <w:r w:rsidRPr="007F26D1">
              <w:rPr>
                <w:rFonts w:ascii="Arial" w:hAnsi="Arial" w:cs="Arial"/>
                <w:sz w:val="20"/>
                <w:szCs w:val="20"/>
              </w:rPr>
              <w:t xml:space="preserve">Completed and satisfactory </w:t>
            </w:r>
            <w:hyperlink r:id="rId19" w:history="1">
              <w:r w:rsidRPr="007F26D1">
                <w:rPr>
                  <w:rStyle w:val="Hyperlink"/>
                  <w:rFonts w:ascii="Arial" w:eastAsiaTheme="minorHAnsi" w:hAnsi="Arial" w:cs="Arial"/>
                  <w:sz w:val="20"/>
                  <w:szCs w:val="20"/>
                </w:rPr>
                <w:t>Sponsor Revie</w:t>
              </w:r>
              <w:r w:rsidRPr="007F26D1">
                <w:rPr>
                  <w:rStyle w:val="Hyperlink"/>
                  <w:rFonts w:ascii="Arial" w:eastAsiaTheme="minorHAnsi" w:hAnsi="Arial" w:cs="Arial"/>
                  <w:sz w:val="20"/>
                  <w:szCs w:val="20"/>
                </w:rPr>
                <w:t>w</w:t>
              </w:r>
            </w:hyperlink>
            <w:r w:rsidRPr="007F26D1">
              <w:rPr>
                <w:rFonts w:ascii="Arial" w:hAnsi="Arial" w:cs="Arial"/>
                <w:sz w:val="20"/>
                <w:szCs w:val="20"/>
              </w:rPr>
              <w:t xml:space="preserve"> disclosure documents for all applicable individuals and entities in the project</w:t>
            </w:r>
            <w:r w:rsidRPr="007F26D1">
              <w:rPr>
                <w:rFonts w:ascii="Arial" w:hAnsi="Arial" w:cs="Arial"/>
                <w:i/>
                <w:sz w:val="20"/>
                <w:szCs w:val="20"/>
              </w:rPr>
              <w:t>.</w:t>
            </w:r>
            <w:r w:rsidRPr="007F26D1">
              <w:rPr>
                <w:rFonts w:ascii="Arial" w:hAnsi="Arial" w:cs="Arial"/>
                <w:sz w:val="20"/>
                <w:szCs w:val="20"/>
              </w:rPr>
              <w:t xml:space="preserve"> Further disclosure documentation may be required.</w:t>
            </w:r>
            <w:r w:rsidRPr="007F26D1">
              <w:rPr>
                <w:rFonts w:ascii="Arial" w:hAnsi="Arial" w:cs="Arial"/>
                <w:i/>
                <w:sz w:val="20"/>
                <w:szCs w:val="20"/>
              </w:rPr>
              <w:t xml:space="preserve">  </w:t>
            </w:r>
          </w:p>
          <w:p w14:paraId="136F19D5" w14:textId="77777777" w:rsidR="00F57D83" w:rsidRPr="007F26D1" w:rsidRDefault="00F57D83" w:rsidP="009A24D4">
            <w:pPr>
              <w:overflowPunct w:val="0"/>
              <w:autoSpaceDE w:val="0"/>
              <w:autoSpaceDN w:val="0"/>
              <w:adjustRightInd w:val="0"/>
              <w:ind w:left="432" w:right="-18"/>
              <w:jc w:val="both"/>
              <w:textAlignment w:val="baseline"/>
              <w:rPr>
                <w:rFonts w:ascii="Arial" w:hAnsi="Arial" w:cs="Arial"/>
                <w:i/>
                <w:sz w:val="20"/>
                <w:szCs w:val="20"/>
              </w:rPr>
            </w:pPr>
          </w:p>
          <w:p w14:paraId="283EA911" w14:textId="77777777" w:rsidR="00F57D83" w:rsidRDefault="00F57D83" w:rsidP="009A24D4">
            <w:pPr>
              <w:numPr>
                <w:ilvl w:val="0"/>
                <w:numId w:val="23"/>
              </w:numPr>
              <w:tabs>
                <w:tab w:val="num" w:pos="438"/>
              </w:tabs>
              <w:overflowPunct w:val="0"/>
              <w:autoSpaceDE w:val="0"/>
              <w:autoSpaceDN w:val="0"/>
              <w:adjustRightInd w:val="0"/>
              <w:ind w:left="432" w:right="-18" w:hanging="432"/>
              <w:jc w:val="both"/>
              <w:textAlignment w:val="baseline"/>
              <w:rPr>
                <w:rFonts w:ascii="Arial" w:hAnsi="Arial" w:cs="Arial"/>
                <w:sz w:val="20"/>
                <w:szCs w:val="20"/>
              </w:rPr>
            </w:pPr>
            <w:r w:rsidRPr="007F26D1">
              <w:rPr>
                <w:rFonts w:ascii="Arial" w:hAnsi="Arial" w:cs="Arial"/>
                <w:sz w:val="20"/>
                <w:szCs w:val="20"/>
              </w:rPr>
              <w:t xml:space="preserve">Completed and satisfactory </w:t>
            </w:r>
            <w:hyperlink r:id="rId20" w:history="1">
              <w:r w:rsidRPr="007F26D1">
                <w:rPr>
                  <w:rStyle w:val="Hyperlink"/>
                  <w:rFonts w:ascii="Arial" w:hAnsi="Arial" w:cs="Arial"/>
                  <w:sz w:val="20"/>
                  <w:szCs w:val="20"/>
                </w:rPr>
                <w:t>Equal Oppo</w:t>
              </w:r>
              <w:r w:rsidRPr="007F26D1">
                <w:rPr>
                  <w:rStyle w:val="Hyperlink"/>
                  <w:rFonts w:ascii="Arial" w:hAnsi="Arial" w:cs="Arial"/>
                  <w:sz w:val="20"/>
                  <w:szCs w:val="20"/>
                </w:rPr>
                <w:t>r</w:t>
              </w:r>
              <w:r w:rsidRPr="007F26D1">
                <w:rPr>
                  <w:rStyle w:val="Hyperlink"/>
                  <w:rFonts w:ascii="Arial" w:hAnsi="Arial" w:cs="Arial"/>
                  <w:sz w:val="20"/>
                  <w:szCs w:val="20"/>
                </w:rPr>
                <w:t>tunity</w:t>
              </w:r>
            </w:hyperlink>
            <w:r w:rsidRPr="007F26D1">
              <w:rPr>
                <w:rFonts w:ascii="Arial" w:hAnsi="Arial" w:cs="Arial"/>
                <w:sz w:val="20"/>
                <w:szCs w:val="20"/>
              </w:rPr>
              <w:t xml:space="preserve"> documents for applicable entities, including contractors and sub-contractors, in the project. Further documentation may be required for contractors and sub-contractors on the </w:t>
            </w:r>
            <w:hyperlink r:id="rId21" w:history="1">
              <w:r w:rsidRPr="007F26D1">
                <w:rPr>
                  <w:rStyle w:val="Hyperlink"/>
                  <w:rFonts w:ascii="Arial" w:eastAsiaTheme="minorHAnsi" w:hAnsi="Arial" w:cs="Arial"/>
                  <w:sz w:val="20"/>
                  <w:szCs w:val="20"/>
                </w:rPr>
                <w:t>Enhance</w:t>
              </w:r>
              <w:r w:rsidRPr="007F26D1">
                <w:rPr>
                  <w:rStyle w:val="Hyperlink"/>
                  <w:rFonts w:ascii="Arial" w:eastAsiaTheme="minorHAnsi" w:hAnsi="Arial" w:cs="Arial"/>
                  <w:sz w:val="20"/>
                  <w:szCs w:val="20"/>
                </w:rPr>
                <w:t>d</w:t>
              </w:r>
              <w:r w:rsidRPr="007F26D1">
                <w:rPr>
                  <w:rStyle w:val="Hyperlink"/>
                  <w:rFonts w:ascii="Arial" w:eastAsiaTheme="minorHAnsi" w:hAnsi="Arial" w:cs="Arial"/>
                  <w:sz w:val="20"/>
                  <w:szCs w:val="20"/>
                </w:rPr>
                <w:t xml:space="preserve"> Contractor Review</w:t>
              </w:r>
            </w:hyperlink>
            <w:r w:rsidRPr="007F26D1">
              <w:rPr>
                <w:rFonts w:ascii="Arial" w:hAnsi="Arial" w:cs="Arial"/>
                <w:sz w:val="20"/>
                <w:szCs w:val="20"/>
              </w:rPr>
              <w:t xml:space="preserve"> status list. </w:t>
            </w:r>
          </w:p>
          <w:p w14:paraId="06E8BCDB" w14:textId="77777777" w:rsidR="00F57D83" w:rsidRPr="007F26D1" w:rsidRDefault="00F57D83" w:rsidP="009A24D4">
            <w:pPr>
              <w:overflowPunct w:val="0"/>
              <w:autoSpaceDE w:val="0"/>
              <w:autoSpaceDN w:val="0"/>
              <w:adjustRightInd w:val="0"/>
              <w:ind w:right="-18"/>
              <w:jc w:val="both"/>
              <w:textAlignment w:val="baseline"/>
              <w:rPr>
                <w:rFonts w:ascii="Arial" w:hAnsi="Arial" w:cs="Arial"/>
                <w:sz w:val="20"/>
                <w:szCs w:val="20"/>
              </w:rPr>
            </w:pPr>
          </w:p>
          <w:p w14:paraId="29A1E292" w14:textId="77777777" w:rsidR="00F57D83" w:rsidRDefault="00F57D83" w:rsidP="009A24D4">
            <w:pPr>
              <w:numPr>
                <w:ilvl w:val="0"/>
                <w:numId w:val="23"/>
              </w:numPr>
              <w:tabs>
                <w:tab w:val="num" w:pos="438"/>
              </w:tabs>
              <w:overflowPunct w:val="0"/>
              <w:autoSpaceDE w:val="0"/>
              <w:autoSpaceDN w:val="0"/>
              <w:adjustRightInd w:val="0"/>
              <w:ind w:left="432" w:right="-18" w:hanging="432"/>
              <w:jc w:val="both"/>
              <w:textAlignment w:val="baseline"/>
              <w:rPr>
                <w:rFonts w:ascii="Arial" w:hAnsi="Arial" w:cs="Arial"/>
                <w:sz w:val="20"/>
                <w:szCs w:val="20"/>
              </w:rPr>
            </w:pPr>
            <w:r w:rsidRPr="007F26D1">
              <w:rPr>
                <w:rFonts w:ascii="Arial" w:hAnsi="Arial" w:cs="Arial"/>
                <w:sz w:val="20"/>
                <w:szCs w:val="20"/>
              </w:rPr>
              <w:t xml:space="preserve">Completed and satisfactory </w:t>
            </w:r>
            <w:hyperlink r:id="rId22" w:history="1">
              <w:hyperlink r:id="rId23" w:history="1">
                <w:r w:rsidRPr="007F26D1">
                  <w:rPr>
                    <w:rStyle w:val="Hyperlink"/>
                    <w:rFonts w:ascii="Arial" w:eastAsiaTheme="minorHAnsi" w:hAnsi="Arial" w:cs="Arial"/>
                    <w:sz w:val="20"/>
                    <w:szCs w:val="20"/>
                  </w:rPr>
                  <w:t xml:space="preserve">HUD Section </w:t>
                </w:r>
                <w:r w:rsidRPr="007F26D1">
                  <w:rPr>
                    <w:rStyle w:val="Hyperlink"/>
                    <w:rFonts w:ascii="Arial" w:eastAsiaTheme="minorHAnsi" w:hAnsi="Arial" w:cs="Arial"/>
                    <w:sz w:val="20"/>
                    <w:szCs w:val="20"/>
                  </w:rPr>
                  <w:t>3</w:t>
                </w:r>
              </w:hyperlink>
            </w:hyperlink>
            <w:r w:rsidRPr="007F26D1">
              <w:rPr>
                <w:rFonts w:ascii="Arial" w:hAnsi="Arial" w:cs="Arial"/>
                <w:sz w:val="20"/>
                <w:szCs w:val="20"/>
              </w:rPr>
              <w:t xml:space="preserve"> documents for applicable entities in the project, if project is receiving federal funding. </w:t>
            </w:r>
          </w:p>
          <w:p w14:paraId="427DB9AE" w14:textId="77777777" w:rsidR="00F57D83" w:rsidRPr="007F26D1" w:rsidRDefault="00F57D83" w:rsidP="009A24D4">
            <w:pPr>
              <w:overflowPunct w:val="0"/>
              <w:autoSpaceDE w:val="0"/>
              <w:autoSpaceDN w:val="0"/>
              <w:adjustRightInd w:val="0"/>
              <w:ind w:right="-18"/>
              <w:jc w:val="both"/>
              <w:textAlignment w:val="baseline"/>
              <w:rPr>
                <w:rFonts w:ascii="Arial" w:hAnsi="Arial" w:cs="Arial"/>
                <w:sz w:val="20"/>
                <w:szCs w:val="20"/>
              </w:rPr>
            </w:pPr>
          </w:p>
          <w:p w14:paraId="6C491C5A" w14:textId="77777777" w:rsidR="00F57D83" w:rsidRDefault="00F57D83" w:rsidP="009A24D4">
            <w:pPr>
              <w:numPr>
                <w:ilvl w:val="0"/>
                <w:numId w:val="23"/>
              </w:numPr>
              <w:tabs>
                <w:tab w:val="num" w:pos="438"/>
              </w:tabs>
              <w:overflowPunct w:val="0"/>
              <w:autoSpaceDE w:val="0"/>
              <w:autoSpaceDN w:val="0"/>
              <w:adjustRightInd w:val="0"/>
              <w:ind w:left="432" w:right="-18" w:hanging="432"/>
              <w:jc w:val="both"/>
              <w:textAlignment w:val="baseline"/>
              <w:rPr>
                <w:rFonts w:ascii="Arial" w:hAnsi="Arial" w:cs="Arial"/>
                <w:sz w:val="20"/>
                <w:szCs w:val="20"/>
              </w:rPr>
            </w:pPr>
            <w:r w:rsidRPr="007F26D1">
              <w:rPr>
                <w:rFonts w:ascii="Arial" w:hAnsi="Arial" w:cs="Arial"/>
                <w:sz w:val="20"/>
                <w:szCs w:val="20"/>
              </w:rPr>
              <w:t xml:space="preserve">Completed and satisfactory </w:t>
            </w:r>
            <w:hyperlink r:id="rId24" w:history="1">
              <w:r w:rsidRPr="007F26D1">
                <w:rPr>
                  <w:rStyle w:val="Hyperlink"/>
                  <w:rFonts w:ascii="Arial" w:eastAsiaTheme="minorHAnsi" w:hAnsi="Arial" w:cs="Arial"/>
                  <w:sz w:val="20"/>
                  <w:szCs w:val="20"/>
                </w:rPr>
                <w:t>Campaign Fina</w:t>
              </w:r>
              <w:r w:rsidRPr="007F26D1">
                <w:rPr>
                  <w:rStyle w:val="Hyperlink"/>
                  <w:rFonts w:ascii="Arial" w:eastAsiaTheme="minorHAnsi" w:hAnsi="Arial" w:cs="Arial"/>
                  <w:sz w:val="20"/>
                  <w:szCs w:val="20"/>
                </w:rPr>
                <w:t>n</w:t>
              </w:r>
              <w:r w:rsidRPr="007F26D1">
                <w:rPr>
                  <w:rStyle w:val="Hyperlink"/>
                  <w:rFonts w:ascii="Arial" w:eastAsiaTheme="minorHAnsi" w:hAnsi="Arial" w:cs="Arial"/>
                  <w:sz w:val="20"/>
                  <w:szCs w:val="20"/>
                </w:rPr>
                <w:t>ce</w:t>
              </w:r>
            </w:hyperlink>
            <w:r w:rsidRPr="007F26D1">
              <w:rPr>
                <w:rFonts w:ascii="Arial" w:hAnsi="Arial" w:cs="Arial"/>
                <w:sz w:val="20"/>
                <w:szCs w:val="20"/>
              </w:rPr>
              <w:t xml:space="preserve"> documents for applicable individuals and organizations in the project. </w:t>
            </w:r>
          </w:p>
          <w:p w14:paraId="4BD1A839" w14:textId="77777777" w:rsidR="00F57D83" w:rsidRPr="007F26D1" w:rsidRDefault="00F57D83" w:rsidP="009A24D4">
            <w:pPr>
              <w:overflowPunct w:val="0"/>
              <w:autoSpaceDE w:val="0"/>
              <w:autoSpaceDN w:val="0"/>
              <w:adjustRightInd w:val="0"/>
              <w:ind w:right="-18"/>
              <w:jc w:val="both"/>
              <w:textAlignment w:val="baseline"/>
              <w:rPr>
                <w:rFonts w:ascii="Arial" w:hAnsi="Arial" w:cs="Arial"/>
                <w:sz w:val="20"/>
                <w:szCs w:val="20"/>
              </w:rPr>
            </w:pPr>
          </w:p>
          <w:p w14:paraId="452F728A" w14:textId="77777777" w:rsidR="00F57D83" w:rsidRPr="000A436A" w:rsidRDefault="00F57D83" w:rsidP="009A24D4">
            <w:pPr>
              <w:numPr>
                <w:ilvl w:val="0"/>
                <w:numId w:val="23"/>
              </w:numPr>
              <w:tabs>
                <w:tab w:val="num" w:pos="438"/>
              </w:tabs>
              <w:overflowPunct w:val="0"/>
              <w:autoSpaceDE w:val="0"/>
              <w:autoSpaceDN w:val="0"/>
              <w:adjustRightInd w:val="0"/>
              <w:ind w:left="432" w:right="-18" w:hanging="432"/>
              <w:jc w:val="both"/>
              <w:textAlignment w:val="baseline"/>
              <w:rPr>
                <w:rFonts w:ascii="Arial" w:hAnsi="Arial" w:cs="Arial"/>
                <w:sz w:val="20"/>
                <w:szCs w:val="20"/>
              </w:rPr>
            </w:pPr>
            <w:r w:rsidRPr="007F26D1">
              <w:rPr>
                <w:rFonts w:ascii="Arial" w:hAnsi="Arial" w:cs="Arial"/>
                <w:sz w:val="20"/>
                <w:szCs w:val="20"/>
              </w:rPr>
              <w:t xml:space="preserve">Completed and satisfactory </w:t>
            </w:r>
            <w:hyperlink r:id="rId25" w:history="1">
              <w:r w:rsidRPr="007F26D1">
                <w:rPr>
                  <w:rStyle w:val="Hyperlink"/>
                  <w:rFonts w:ascii="Arial" w:eastAsiaTheme="minorHAnsi" w:hAnsi="Arial" w:cs="Arial"/>
                  <w:sz w:val="20"/>
                  <w:szCs w:val="20"/>
                </w:rPr>
                <w:t>Environmental Re</w:t>
              </w:r>
              <w:r w:rsidRPr="007F26D1">
                <w:rPr>
                  <w:rStyle w:val="Hyperlink"/>
                  <w:rFonts w:ascii="Arial" w:eastAsiaTheme="minorHAnsi" w:hAnsi="Arial" w:cs="Arial"/>
                  <w:sz w:val="20"/>
                  <w:szCs w:val="20"/>
                </w:rPr>
                <w:t>v</w:t>
              </w:r>
              <w:r w:rsidRPr="007F26D1">
                <w:rPr>
                  <w:rStyle w:val="Hyperlink"/>
                  <w:rFonts w:ascii="Arial" w:eastAsiaTheme="minorHAnsi" w:hAnsi="Arial" w:cs="Arial"/>
                  <w:sz w:val="20"/>
                  <w:szCs w:val="20"/>
                </w:rPr>
                <w:t>iew</w:t>
              </w:r>
            </w:hyperlink>
            <w:r w:rsidRPr="007F26D1">
              <w:rPr>
                <w:rFonts w:ascii="Arial" w:hAnsi="Arial" w:cs="Arial"/>
                <w:sz w:val="20"/>
                <w:szCs w:val="20"/>
              </w:rPr>
              <w:t xml:space="preserve"> including, but not limited to, City Environmental Quality Review (CEQR), and/or State Environmental Quality Review Act (SEQRA), and/or National Environmental Policy Act (NEPA), as applicable. Detailed environmental studies and compliance measures may be required</w:t>
            </w:r>
            <w:r w:rsidRPr="007F26D1">
              <w:rPr>
                <w:rFonts w:ascii="Arial" w:hAnsi="Arial" w:cs="Arial"/>
                <w:color w:val="0070C0"/>
                <w:sz w:val="20"/>
                <w:szCs w:val="20"/>
              </w:rPr>
              <w:t>.</w:t>
            </w:r>
          </w:p>
          <w:p w14:paraId="4849FE2F" w14:textId="77777777" w:rsidR="00F57D83" w:rsidRPr="007F26D1" w:rsidRDefault="00F57D83" w:rsidP="009A24D4">
            <w:pPr>
              <w:overflowPunct w:val="0"/>
              <w:autoSpaceDE w:val="0"/>
              <w:autoSpaceDN w:val="0"/>
              <w:adjustRightInd w:val="0"/>
              <w:ind w:right="-18"/>
              <w:jc w:val="both"/>
              <w:textAlignment w:val="baseline"/>
              <w:rPr>
                <w:rFonts w:ascii="Arial" w:hAnsi="Arial" w:cs="Arial"/>
                <w:sz w:val="20"/>
                <w:szCs w:val="20"/>
              </w:rPr>
            </w:pPr>
          </w:p>
          <w:p w14:paraId="59A93A0C" w14:textId="77777777" w:rsidR="00F57D83" w:rsidRPr="000A436A" w:rsidRDefault="00F57D83" w:rsidP="009A24D4">
            <w:pPr>
              <w:numPr>
                <w:ilvl w:val="0"/>
                <w:numId w:val="23"/>
              </w:numPr>
              <w:tabs>
                <w:tab w:val="num" w:pos="438"/>
              </w:tabs>
              <w:overflowPunct w:val="0"/>
              <w:autoSpaceDE w:val="0"/>
              <w:autoSpaceDN w:val="0"/>
              <w:adjustRightInd w:val="0"/>
              <w:ind w:left="432" w:right="-18" w:hanging="432"/>
              <w:jc w:val="both"/>
              <w:textAlignment w:val="baseline"/>
              <w:rPr>
                <w:rStyle w:val="Hyperlink"/>
                <w:rFonts w:ascii="Arial" w:hAnsi="Arial" w:cs="Arial"/>
                <w:color w:val="auto"/>
                <w:sz w:val="20"/>
                <w:szCs w:val="20"/>
                <w:u w:val="none"/>
              </w:rPr>
            </w:pPr>
            <w:r w:rsidRPr="007F26D1">
              <w:rPr>
                <w:rFonts w:ascii="Arial" w:hAnsi="Arial" w:cs="Arial"/>
                <w:sz w:val="20"/>
                <w:szCs w:val="20"/>
              </w:rPr>
              <w:t xml:space="preserve">Architectural plans approved by </w:t>
            </w:r>
            <w:hyperlink r:id="rId26" w:history="1">
              <w:r w:rsidRPr="007F26D1">
                <w:rPr>
                  <w:rStyle w:val="Hyperlink"/>
                  <w:rFonts w:ascii="Arial" w:hAnsi="Arial" w:cs="Arial"/>
                  <w:sz w:val="20"/>
                  <w:szCs w:val="20"/>
                </w:rPr>
                <w:t>HPD's Building and Land Development</w:t>
              </w:r>
              <w:r w:rsidRPr="007F26D1">
                <w:rPr>
                  <w:rStyle w:val="Hyperlink"/>
                  <w:rFonts w:ascii="Arial" w:hAnsi="Arial" w:cs="Arial"/>
                  <w:sz w:val="20"/>
                  <w:szCs w:val="20"/>
                </w:rPr>
                <w:t xml:space="preserve"> </w:t>
              </w:r>
              <w:r w:rsidRPr="007F26D1">
                <w:rPr>
                  <w:rStyle w:val="Hyperlink"/>
                  <w:rFonts w:ascii="Arial" w:hAnsi="Arial" w:cs="Arial"/>
                  <w:sz w:val="20"/>
                  <w:szCs w:val="20"/>
                </w:rPr>
                <w:t>Services</w:t>
              </w:r>
            </w:hyperlink>
          </w:p>
          <w:p w14:paraId="4C24CA8E" w14:textId="77777777" w:rsidR="00F57D83" w:rsidRPr="007F26D1" w:rsidRDefault="00F57D83" w:rsidP="009A24D4">
            <w:pPr>
              <w:overflowPunct w:val="0"/>
              <w:autoSpaceDE w:val="0"/>
              <w:autoSpaceDN w:val="0"/>
              <w:adjustRightInd w:val="0"/>
              <w:ind w:right="-18"/>
              <w:jc w:val="both"/>
              <w:textAlignment w:val="baseline"/>
              <w:rPr>
                <w:rFonts w:ascii="Arial" w:hAnsi="Arial" w:cs="Arial"/>
                <w:sz w:val="20"/>
                <w:szCs w:val="20"/>
              </w:rPr>
            </w:pPr>
          </w:p>
          <w:p w14:paraId="3A7B8E84" w14:textId="77777777" w:rsidR="00F57D83" w:rsidRDefault="00F57D83" w:rsidP="009A24D4">
            <w:pPr>
              <w:numPr>
                <w:ilvl w:val="0"/>
                <w:numId w:val="23"/>
              </w:numPr>
              <w:tabs>
                <w:tab w:val="num" w:pos="438"/>
              </w:tabs>
              <w:overflowPunct w:val="0"/>
              <w:autoSpaceDE w:val="0"/>
              <w:autoSpaceDN w:val="0"/>
              <w:adjustRightInd w:val="0"/>
              <w:ind w:left="432" w:right="-18" w:hanging="432"/>
              <w:jc w:val="both"/>
              <w:textAlignment w:val="baseline"/>
              <w:rPr>
                <w:rFonts w:ascii="Arial" w:hAnsi="Arial" w:cs="Arial"/>
                <w:sz w:val="20"/>
                <w:szCs w:val="20"/>
              </w:rPr>
            </w:pPr>
            <w:r w:rsidRPr="007F26D1">
              <w:rPr>
                <w:rFonts w:ascii="Arial" w:hAnsi="Arial" w:cs="Arial"/>
                <w:sz w:val="20"/>
                <w:szCs w:val="20"/>
              </w:rPr>
              <w:t xml:space="preserve">Approval and Permits by the NYC Department of Buildings (DOB) </w:t>
            </w:r>
          </w:p>
          <w:p w14:paraId="31172B21" w14:textId="77777777" w:rsidR="00F57D83" w:rsidRPr="007F26D1" w:rsidRDefault="00F57D83" w:rsidP="009A24D4">
            <w:pPr>
              <w:overflowPunct w:val="0"/>
              <w:autoSpaceDE w:val="0"/>
              <w:autoSpaceDN w:val="0"/>
              <w:adjustRightInd w:val="0"/>
              <w:ind w:right="-18"/>
              <w:jc w:val="both"/>
              <w:textAlignment w:val="baseline"/>
              <w:rPr>
                <w:rFonts w:ascii="Arial" w:hAnsi="Arial" w:cs="Arial"/>
                <w:sz w:val="20"/>
                <w:szCs w:val="20"/>
              </w:rPr>
            </w:pPr>
          </w:p>
          <w:p w14:paraId="60DE6E46" w14:textId="77777777" w:rsidR="00F57D83" w:rsidRDefault="00F57D83" w:rsidP="009A24D4">
            <w:pPr>
              <w:numPr>
                <w:ilvl w:val="0"/>
                <w:numId w:val="23"/>
              </w:numPr>
              <w:tabs>
                <w:tab w:val="num" w:pos="438"/>
              </w:tabs>
              <w:overflowPunct w:val="0"/>
              <w:autoSpaceDE w:val="0"/>
              <w:autoSpaceDN w:val="0"/>
              <w:adjustRightInd w:val="0"/>
              <w:ind w:left="432" w:right="-18" w:hanging="432"/>
              <w:jc w:val="both"/>
              <w:textAlignment w:val="baseline"/>
              <w:rPr>
                <w:rFonts w:ascii="Arial" w:hAnsi="Arial" w:cs="Arial"/>
                <w:sz w:val="20"/>
                <w:szCs w:val="20"/>
              </w:rPr>
            </w:pPr>
            <w:r w:rsidRPr="007F26D1">
              <w:rPr>
                <w:rFonts w:ascii="Arial" w:hAnsi="Arial" w:cs="Arial"/>
                <w:sz w:val="20"/>
                <w:szCs w:val="20"/>
              </w:rPr>
              <w:t xml:space="preserve">HPD may require the inclusion of </w:t>
            </w:r>
            <w:r>
              <w:rPr>
                <w:rFonts w:ascii="Arial" w:hAnsi="Arial" w:cs="Arial"/>
                <w:sz w:val="20"/>
                <w:szCs w:val="20"/>
              </w:rPr>
              <w:t>one or more</w:t>
            </w:r>
            <w:r w:rsidRPr="007F26D1">
              <w:rPr>
                <w:rFonts w:ascii="Arial" w:hAnsi="Arial" w:cs="Arial"/>
                <w:sz w:val="20"/>
                <w:szCs w:val="20"/>
              </w:rPr>
              <w:t xml:space="preserve"> HPD rider</w:t>
            </w:r>
            <w:r>
              <w:rPr>
                <w:rFonts w:ascii="Arial" w:hAnsi="Arial" w:cs="Arial"/>
                <w:sz w:val="20"/>
                <w:szCs w:val="20"/>
              </w:rPr>
              <w:t>(s)</w:t>
            </w:r>
            <w:r w:rsidRPr="007F26D1">
              <w:rPr>
                <w:rFonts w:ascii="Arial" w:hAnsi="Arial" w:cs="Arial"/>
                <w:sz w:val="20"/>
                <w:szCs w:val="20"/>
              </w:rPr>
              <w:t xml:space="preserve"> as part of the construction contract.</w:t>
            </w:r>
          </w:p>
          <w:p w14:paraId="503952BD" w14:textId="77777777" w:rsidR="00F57D83" w:rsidRPr="007F26D1" w:rsidRDefault="00F57D83" w:rsidP="009A24D4">
            <w:pPr>
              <w:overflowPunct w:val="0"/>
              <w:autoSpaceDE w:val="0"/>
              <w:autoSpaceDN w:val="0"/>
              <w:adjustRightInd w:val="0"/>
              <w:ind w:right="-18"/>
              <w:jc w:val="both"/>
              <w:textAlignment w:val="baseline"/>
              <w:rPr>
                <w:rFonts w:ascii="Arial" w:hAnsi="Arial" w:cs="Arial"/>
                <w:sz w:val="20"/>
                <w:szCs w:val="20"/>
              </w:rPr>
            </w:pPr>
          </w:p>
          <w:p w14:paraId="4227F84C" w14:textId="77777777" w:rsidR="00F57D83" w:rsidRDefault="00F57D83" w:rsidP="009A24D4">
            <w:pPr>
              <w:numPr>
                <w:ilvl w:val="0"/>
                <w:numId w:val="23"/>
              </w:numPr>
              <w:tabs>
                <w:tab w:val="num" w:pos="438"/>
              </w:tabs>
              <w:overflowPunct w:val="0"/>
              <w:autoSpaceDE w:val="0"/>
              <w:autoSpaceDN w:val="0"/>
              <w:adjustRightInd w:val="0"/>
              <w:ind w:left="432" w:right="-18" w:hanging="432"/>
              <w:jc w:val="both"/>
              <w:textAlignment w:val="baseline"/>
              <w:rPr>
                <w:rFonts w:ascii="Arial" w:hAnsi="Arial" w:cs="Arial"/>
                <w:sz w:val="20"/>
                <w:szCs w:val="20"/>
              </w:rPr>
            </w:pPr>
            <w:r w:rsidRPr="007F26D1">
              <w:rPr>
                <w:rFonts w:ascii="Arial" w:hAnsi="Arial" w:cs="Arial"/>
                <w:sz w:val="20"/>
                <w:szCs w:val="20"/>
              </w:rPr>
              <w:t xml:space="preserve">Borrower’s organizational documents including W-9 forms and IRS EIN letters. </w:t>
            </w:r>
          </w:p>
          <w:p w14:paraId="126D5B12" w14:textId="77777777" w:rsidR="00F57D83" w:rsidRPr="007F26D1" w:rsidRDefault="00F57D83" w:rsidP="009A24D4">
            <w:pPr>
              <w:overflowPunct w:val="0"/>
              <w:autoSpaceDE w:val="0"/>
              <w:autoSpaceDN w:val="0"/>
              <w:adjustRightInd w:val="0"/>
              <w:ind w:right="-18"/>
              <w:jc w:val="both"/>
              <w:textAlignment w:val="baseline"/>
              <w:rPr>
                <w:rFonts w:ascii="Arial" w:hAnsi="Arial" w:cs="Arial"/>
                <w:sz w:val="20"/>
                <w:szCs w:val="20"/>
              </w:rPr>
            </w:pPr>
          </w:p>
          <w:p w14:paraId="084B84C1" w14:textId="77777777" w:rsidR="00F57D83" w:rsidRDefault="00F57D83" w:rsidP="009A24D4">
            <w:pPr>
              <w:numPr>
                <w:ilvl w:val="0"/>
                <w:numId w:val="23"/>
              </w:numPr>
              <w:tabs>
                <w:tab w:val="num" w:pos="438"/>
              </w:tabs>
              <w:overflowPunct w:val="0"/>
              <w:autoSpaceDE w:val="0"/>
              <w:autoSpaceDN w:val="0"/>
              <w:adjustRightInd w:val="0"/>
              <w:ind w:left="432" w:hanging="432"/>
              <w:jc w:val="both"/>
              <w:textAlignment w:val="baseline"/>
              <w:rPr>
                <w:rFonts w:ascii="Arial" w:hAnsi="Arial" w:cs="Arial"/>
                <w:sz w:val="20"/>
                <w:szCs w:val="20"/>
              </w:rPr>
            </w:pPr>
            <w:r w:rsidRPr="007F26D1">
              <w:rPr>
                <w:rFonts w:ascii="Arial" w:hAnsi="Arial" w:cs="Arial"/>
                <w:sz w:val="20"/>
                <w:szCs w:val="20"/>
              </w:rPr>
              <w:t xml:space="preserve">HPD requires that the general contractor secures projects by a letter of credit for 10% of hard costs excluding contingency.  Payment and Performance bond for 100% of hard costs may be accepted in lieu of letter of credit.  </w:t>
            </w:r>
          </w:p>
          <w:p w14:paraId="543090F7" w14:textId="77777777" w:rsidR="00F57D83" w:rsidRPr="007F26D1" w:rsidRDefault="00F57D83" w:rsidP="009A24D4">
            <w:pPr>
              <w:overflowPunct w:val="0"/>
              <w:autoSpaceDE w:val="0"/>
              <w:autoSpaceDN w:val="0"/>
              <w:adjustRightInd w:val="0"/>
              <w:jc w:val="both"/>
              <w:textAlignment w:val="baseline"/>
              <w:rPr>
                <w:rFonts w:ascii="Arial" w:hAnsi="Arial" w:cs="Arial"/>
                <w:sz w:val="20"/>
                <w:szCs w:val="20"/>
              </w:rPr>
            </w:pPr>
          </w:p>
          <w:p w14:paraId="66363E0D" w14:textId="77777777" w:rsidR="00F57D83" w:rsidRDefault="00F57D83" w:rsidP="009A24D4">
            <w:pPr>
              <w:numPr>
                <w:ilvl w:val="0"/>
                <w:numId w:val="23"/>
              </w:numPr>
              <w:tabs>
                <w:tab w:val="num" w:pos="438"/>
              </w:tabs>
              <w:overflowPunct w:val="0"/>
              <w:autoSpaceDE w:val="0"/>
              <w:autoSpaceDN w:val="0"/>
              <w:adjustRightInd w:val="0"/>
              <w:ind w:left="432" w:hanging="432"/>
              <w:jc w:val="both"/>
              <w:textAlignment w:val="baseline"/>
              <w:rPr>
                <w:rFonts w:ascii="Arial" w:hAnsi="Arial" w:cs="Arial"/>
                <w:sz w:val="20"/>
                <w:szCs w:val="20"/>
              </w:rPr>
            </w:pPr>
            <w:r w:rsidRPr="007F26D1">
              <w:rPr>
                <w:rFonts w:ascii="Arial" w:hAnsi="Arial" w:cs="Arial"/>
                <w:sz w:val="20"/>
                <w:szCs w:val="20"/>
              </w:rPr>
              <w:t>HPD may require that it be named beneficiary on documents, including but not limited to insurance certificates and completion guarant</w:t>
            </w:r>
            <w:r>
              <w:rPr>
                <w:rFonts w:ascii="Arial" w:hAnsi="Arial" w:cs="Arial"/>
                <w:sz w:val="20"/>
                <w:szCs w:val="20"/>
              </w:rPr>
              <w:t>i</w:t>
            </w:r>
            <w:r w:rsidRPr="007F26D1">
              <w:rPr>
                <w:rFonts w:ascii="Arial" w:hAnsi="Arial" w:cs="Arial"/>
                <w:sz w:val="20"/>
                <w:szCs w:val="20"/>
              </w:rPr>
              <w:t>es.</w:t>
            </w:r>
          </w:p>
          <w:p w14:paraId="65FE9BCC" w14:textId="77777777" w:rsidR="00F57D83" w:rsidRDefault="00F57D83" w:rsidP="009A24D4">
            <w:pPr>
              <w:pStyle w:val="ListParagraph"/>
              <w:jc w:val="both"/>
              <w:rPr>
                <w:rFonts w:ascii="Arial" w:hAnsi="Arial" w:cs="Arial"/>
                <w:sz w:val="20"/>
                <w:szCs w:val="20"/>
              </w:rPr>
            </w:pPr>
          </w:p>
          <w:p w14:paraId="387BF128" w14:textId="1D5E372E" w:rsidR="00407E6F" w:rsidRPr="00407E6F" w:rsidRDefault="00F57D83" w:rsidP="00407E6F">
            <w:pPr>
              <w:numPr>
                <w:ilvl w:val="0"/>
                <w:numId w:val="23"/>
              </w:numPr>
              <w:tabs>
                <w:tab w:val="num" w:pos="438"/>
              </w:tabs>
              <w:overflowPunct w:val="0"/>
              <w:autoSpaceDE w:val="0"/>
              <w:autoSpaceDN w:val="0"/>
              <w:adjustRightInd w:val="0"/>
              <w:ind w:left="432" w:hanging="432"/>
              <w:jc w:val="both"/>
              <w:textAlignment w:val="baseline"/>
              <w:rPr>
                <w:rFonts w:ascii="Arial" w:hAnsi="Arial" w:cs="Arial"/>
                <w:sz w:val="20"/>
                <w:szCs w:val="20"/>
              </w:rPr>
            </w:pPr>
            <w:r w:rsidRPr="00F57D83">
              <w:rPr>
                <w:rFonts w:ascii="Arial" w:hAnsi="Arial" w:cs="Arial"/>
                <w:sz w:val="20"/>
                <w:szCs w:val="20"/>
              </w:rPr>
              <w:t>HPD requires a fee of $1,400 for monitoring compliance with Executive Order 50 of 1980 (as amended by Executive Order 94 of 1986, Executive Order 108 of 1986, and Executive Order 159 of 2011) which requires equal employment opportunity in New York City contracting and monitoring compliance with the Federal Davis Bacon Act (40 U.S.C. §3141 et seq.), State Labor Law §§220 and 230, Real Property Tax Law §421-a(8), and New York City Administrative Code §6-109 which require the payment of prevailing wages and compliance with labor standards.</w:t>
            </w:r>
          </w:p>
          <w:p w14:paraId="49F76F42" w14:textId="77777777" w:rsidR="00F57D83" w:rsidRPr="007F26D1" w:rsidRDefault="00F57D83" w:rsidP="009A24D4">
            <w:pPr>
              <w:overflowPunct w:val="0"/>
              <w:autoSpaceDE w:val="0"/>
              <w:autoSpaceDN w:val="0"/>
              <w:adjustRightInd w:val="0"/>
              <w:jc w:val="both"/>
              <w:textAlignment w:val="baseline"/>
              <w:rPr>
                <w:rFonts w:ascii="Arial" w:hAnsi="Arial" w:cs="Arial"/>
                <w:sz w:val="20"/>
                <w:szCs w:val="20"/>
              </w:rPr>
            </w:pPr>
          </w:p>
        </w:tc>
      </w:tr>
      <w:tr w:rsidR="00891C97" w:rsidRPr="007F26D1" w14:paraId="3DEC114C" w14:textId="77777777" w:rsidTr="34030362">
        <w:trPr>
          <w:gridAfter w:val="1"/>
          <w:wAfter w:w="18" w:type="dxa"/>
        </w:trPr>
        <w:tc>
          <w:tcPr>
            <w:tcW w:w="1602" w:type="dxa"/>
            <w:tcBorders>
              <w:top w:val="dotted" w:sz="4" w:space="0" w:color="auto"/>
            </w:tcBorders>
          </w:tcPr>
          <w:p w14:paraId="1C861328" w14:textId="3904FEE1" w:rsidR="00891C97" w:rsidRPr="007F26D1" w:rsidRDefault="00891C97">
            <w:pPr>
              <w:rPr>
                <w:rFonts w:ascii="Arial" w:hAnsi="Arial" w:cs="Arial"/>
                <w:b/>
                <w:sz w:val="20"/>
                <w:szCs w:val="20"/>
              </w:rPr>
            </w:pPr>
            <w:r w:rsidRPr="007F26D1">
              <w:rPr>
                <w:rFonts w:ascii="Arial" w:hAnsi="Arial" w:cs="Arial"/>
                <w:b/>
                <w:sz w:val="20"/>
                <w:szCs w:val="20"/>
              </w:rPr>
              <w:t>Conversion</w:t>
            </w:r>
            <w:r w:rsidR="00F57D83">
              <w:rPr>
                <w:rFonts w:ascii="Arial" w:hAnsi="Arial" w:cs="Arial"/>
                <w:b/>
                <w:sz w:val="20"/>
                <w:szCs w:val="20"/>
              </w:rPr>
              <w:t xml:space="preserve"> Requirements</w:t>
            </w:r>
          </w:p>
        </w:tc>
        <w:tc>
          <w:tcPr>
            <w:tcW w:w="9000" w:type="dxa"/>
            <w:tcBorders>
              <w:top w:val="dotted" w:sz="4" w:space="0" w:color="auto"/>
            </w:tcBorders>
          </w:tcPr>
          <w:p w14:paraId="5E99B973" w14:textId="77777777" w:rsidR="00891C97" w:rsidRPr="007F26D1" w:rsidRDefault="00891C97" w:rsidP="009A24D4">
            <w:pPr>
              <w:jc w:val="both"/>
              <w:rPr>
                <w:rFonts w:ascii="Arial" w:hAnsi="Arial" w:cs="Arial"/>
                <w:sz w:val="20"/>
                <w:szCs w:val="20"/>
              </w:rPr>
            </w:pPr>
            <w:r w:rsidRPr="007F26D1">
              <w:rPr>
                <w:rFonts w:ascii="Arial" w:hAnsi="Arial" w:cs="Arial"/>
                <w:sz w:val="20"/>
                <w:szCs w:val="20"/>
              </w:rPr>
              <w:t>Conditions precedent to permanent loan conversion include (but are not limited to):</w:t>
            </w:r>
          </w:p>
          <w:p w14:paraId="4A6C5B66" w14:textId="77777777" w:rsidR="00891C97" w:rsidRPr="007F26D1" w:rsidRDefault="00891C97" w:rsidP="009A24D4">
            <w:pPr>
              <w:jc w:val="both"/>
              <w:rPr>
                <w:rFonts w:ascii="Arial" w:hAnsi="Arial" w:cs="Arial"/>
                <w:sz w:val="20"/>
                <w:szCs w:val="20"/>
              </w:rPr>
            </w:pPr>
          </w:p>
          <w:p w14:paraId="39FB441A" w14:textId="77777777" w:rsidR="00891C97" w:rsidRPr="007F26D1" w:rsidRDefault="00891C97" w:rsidP="009A24D4">
            <w:pPr>
              <w:numPr>
                <w:ilvl w:val="0"/>
                <w:numId w:val="24"/>
              </w:numPr>
              <w:tabs>
                <w:tab w:val="num" w:pos="438"/>
                <w:tab w:val="left" w:pos="7992"/>
              </w:tabs>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t>Evidence of rent registration with HCR in compliance with rent stabilization requirements</w:t>
            </w:r>
          </w:p>
          <w:p w14:paraId="7770706F" w14:textId="77777777" w:rsidR="00891C97" w:rsidRPr="007F26D1" w:rsidRDefault="00891C97" w:rsidP="009A24D4">
            <w:pPr>
              <w:numPr>
                <w:ilvl w:val="0"/>
                <w:numId w:val="24"/>
              </w:numPr>
              <w:tabs>
                <w:tab w:val="num" w:pos="438"/>
                <w:tab w:val="left" w:pos="7992"/>
              </w:tabs>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t>95% residential rental achievement</w:t>
            </w:r>
          </w:p>
          <w:p w14:paraId="2F964E1B" w14:textId="77777777" w:rsidR="00891C97" w:rsidRPr="007F26D1" w:rsidRDefault="00891C97" w:rsidP="009A24D4">
            <w:pPr>
              <w:numPr>
                <w:ilvl w:val="0"/>
                <w:numId w:val="24"/>
              </w:numPr>
              <w:tabs>
                <w:tab w:val="num" w:pos="438"/>
                <w:tab w:val="left" w:pos="7992"/>
              </w:tabs>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t>100% commercial/retail occupancy evidenced by executed leases</w:t>
            </w:r>
          </w:p>
          <w:p w14:paraId="343F3E59" w14:textId="77777777" w:rsidR="00891C97" w:rsidRPr="007F26D1" w:rsidRDefault="00891C97" w:rsidP="009A24D4">
            <w:pPr>
              <w:numPr>
                <w:ilvl w:val="0"/>
                <w:numId w:val="24"/>
              </w:numPr>
              <w:tabs>
                <w:tab w:val="num" w:pos="438"/>
                <w:tab w:val="left" w:pos="7992"/>
              </w:tabs>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t>Evidence of real estate tax benefits, including ICAP, if applicable</w:t>
            </w:r>
            <w:r w:rsidRPr="007F26D1" w:rsidDel="006F12EF">
              <w:rPr>
                <w:rFonts w:ascii="Arial" w:hAnsi="Arial" w:cs="Arial"/>
                <w:sz w:val="20"/>
                <w:szCs w:val="20"/>
              </w:rPr>
              <w:t xml:space="preserve"> </w:t>
            </w:r>
          </w:p>
          <w:p w14:paraId="79479C51" w14:textId="77777777" w:rsidR="00891C97" w:rsidRPr="007F26D1" w:rsidRDefault="00891C97" w:rsidP="009A24D4">
            <w:pPr>
              <w:numPr>
                <w:ilvl w:val="0"/>
                <w:numId w:val="24"/>
              </w:numPr>
              <w:tabs>
                <w:tab w:val="num" w:pos="438"/>
                <w:tab w:val="left" w:pos="7992"/>
              </w:tabs>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t>Temporary or Final Certificate of Occupancy from NYC Department of Buildings (DOB)</w:t>
            </w:r>
          </w:p>
          <w:p w14:paraId="4B44D446" w14:textId="77777777" w:rsidR="00891C97" w:rsidRPr="007F26D1" w:rsidRDefault="00891C97" w:rsidP="009A24D4">
            <w:pPr>
              <w:numPr>
                <w:ilvl w:val="0"/>
                <w:numId w:val="24"/>
              </w:numPr>
              <w:tabs>
                <w:tab w:val="num" w:pos="438"/>
                <w:tab w:val="left" w:pos="7992"/>
              </w:tabs>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t>Architect's Statement post-completion regarding accessibility</w:t>
            </w:r>
          </w:p>
          <w:p w14:paraId="2A905D38" w14:textId="77777777" w:rsidR="00891C97" w:rsidRPr="007F26D1" w:rsidRDefault="00891C97" w:rsidP="009A24D4">
            <w:pPr>
              <w:numPr>
                <w:ilvl w:val="0"/>
                <w:numId w:val="24"/>
              </w:numPr>
              <w:tabs>
                <w:tab w:val="num" w:pos="438"/>
                <w:tab w:val="left" w:pos="7992"/>
              </w:tabs>
              <w:overflowPunct w:val="0"/>
              <w:autoSpaceDE w:val="0"/>
              <w:autoSpaceDN w:val="0"/>
              <w:adjustRightInd w:val="0"/>
              <w:jc w:val="both"/>
              <w:textAlignment w:val="baseline"/>
              <w:rPr>
                <w:rFonts w:ascii="Arial" w:hAnsi="Arial" w:cs="Arial"/>
                <w:sz w:val="20"/>
                <w:szCs w:val="20"/>
              </w:rPr>
            </w:pPr>
            <w:r w:rsidRPr="007F26D1">
              <w:rPr>
                <w:rFonts w:ascii="Arial" w:hAnsi="Arial" w:cs="Arial"/>
                <w:sz w:val="20"/>
                <w:szCs w:val="20"/>
              </w:rPr>
              <w:lastRenderedPageBreak/>
              <w:t>Certificate of Completion from HPD on publicly owned sites.</w:t>
            </w:r>
          </w:p>
          <w:p w14:paraId="792FE834" w14:textId="77777777" w:rsidR="00891C97" w:rsidRPr="007F26D1" w:rsidRDefault="00891C97" w:rsidP="00BF13DC">
            <w:pPr>
              <w:overflowPunct w:val="0"/>
              <w:autoSpaceDE w:val="0"/>
              <w:autoSpaceDN w:val="0"/>
              <w:adjustRightInd w:val="0"/>
              <w:jc w:val="both"/>
              <w:textAlignment w:val="baseline"/>
              <w:rPr>
                <w:rFonts w:ascii="Arial" w:hAnsi="Arial" w:cs="Arial"/>
                <w:color w:val="000000"/>
                <w:sz w:val="20"/>
                <w:szCs w:val="20"/>
              </w:rPr>
            </w:pPr>
          </w:p>
        </w:tc>
      </w:tr>
      <w:tr w:rsidR="00891C97" w:rsidRPr="007F26D1" w14:paraId="67BD84E3" w14:textId="77777777" w:rsidTr="34030362">
        <w:trPr>
          <w:gridAfter w:val="1"/>
          <w:wAfter w:w="18" w:type="dxa"/>
        </w:trPr>
        <w:tc>
          <w:tcPr>
            <w:tcW w:w="1602" w:type="dxa"/>
          </w:tcPr>
          <w:p w14:paraId="3E3BD37E" w14:textId="77777777" w:rsidR="00891C97" w:rsidRPr="007F26D1" w:rsidRDefault="00891C97">
            <w:pPr>
              <w:rPr>
                <w:rFonts w:ascii="Arial" w:hAnsi="Arial" w:cs="Arial"/>
                <w:b/>
                <w:sz w:val="20"/>
                <w:szCs w:val="20"/>
              </w:rPr>
            </w:pPr>
            <w:r w:rsidRPr="007F26D1">
              <w:rPr>
                <w:rFonts w:ascii="Arial" w:hAnsi="Arial" w:cs="Arial"/>
                <w:b/>
                <w:sz w:val="20"/>
                <w:szCs w:val="20"/>
              </w:rPr>
              <w:lastRenderedPageBreak/>
              <w:t>Additional Requirements</w:t>
            </w:r>
          </w:p>
        </w:tc>
        <w:tc>
          <w:tcPr>
            <w:tcW w:w="9000" w:type="dxa"/>
            <w:tcBorders>
              <w:top w:val="dotted" w:sz="4" w:space="0" w:color="auto"/>
              <w:bottom w:val="single" w:sz="4" w:space="0" w:color="auto"/>
            </w:tcBorders>
          </w:tcPr>
          <w:p w14:paraId="182D51C2" w14:textId="77777777" w:rsidR="00891C97" w:rsidRDefault="00891C97" w:rsidP="009A24D4">
            <w:pPr>
              <w:ind w:left="-14"/>
              <w:jc w:val="both"/>
              <w:rPr>
                <w:rFonts w:ascii="Arial" w:hAnsi="Arial" w:cs="Arial"/>
                <w:color w:val="000000"/>
                <w:sz w:val="20"/>
                <w:szCs w:val="20"/>
              </w:rPr>
            </w:pPr>
            <w:r w:rsidRPr="007F26D1">
              <w:rPr>
                <w:rFonts w:ascii="Arial" w:hAnsi="Arial" w:cs="Arial"/>
                <w:color w:val="000000"/>
                <w:sz w:val="20"/>
                <w:szCs w:val="20"/>
              </w:rPr>
              <w:t>Developers are required to comply with all applicable Federal, State, and local laws, orders, and regulations prohibiting housing discrimination.  The Developer must also construct the project in compliance with all laws regarding accessibility for people with disabilities, including but not limited to the New York City Building Code, the federal Fair Housing Act, the Americans With Disability Act, and Section 504 of the Rehabilitation Act of 1973.</w:t>
            </w:r>
          </w:p>
          <w:p w14:paraId="1DA62FCF" w14:textId="77777777" w:rsidR="00891C97" w:rsidRPr="007F26D1" w:rsidRDefault="00891C97" w:rsidP="009A24D4">
            <w:pPr>
              <w:ind w:left="-14"/>
              <w:jc w:val="both"/>
              <w:rPr>
                <w:rFonts w:ascii="Arial" w:hAnsi="Arial" w:cs="Arial"/>
                <w:color w:val="000000"/>
                <w:sz w:val="20"/>
                <w:szCs w:val="20"/>
              </w:rPr>
            </w:pPr>
          </w:p>
          <w:p w14:paraId="0B84D1BF" w14:textId="77777777" w:rsidR="00891C97" w:rsidRPr="007F26D1" w:rsidRDefault="00891C97" w:rsidP="009A24D4">
            <w:pPr>
              <w:ind w:left="-14"/>
              <w:jc w:val="both"/>
              <w:rPr>
                <w:rFonts w:ascii="Arial" w:hAnsi="Arial" w:cs="Arial"/>
                <w:color w:val="000000"/>
                <w:sz w:val="20"/>
                <w:szCs w:val="20"/>
              </w:rPr>
            </w:pPr>
            <w:r w:rsidRPr="007F26D1">
              <w:rPr>
                <w:rFonts w:ascii="Arial" w:hAnsi="Arial" w:cs="Arial"/>
                <w:color w:val="000000"/>
                <w:sz w:val="20"/>
                <w:szCs w:val="20"/>
              </w:rPr>
              <w:t>The proposed residential development program will be evaluated within the context of New York City’s commitment to affirmatively further fair housing.  Consistent with the Fair Housing Act, the City and HPD implement a balanced approach to fair housing planning, taking meaningful action to address disparities in housing needs that increases access to opportunity, fosters inclusive communities, and facilitates integrated living patterns, in addition to combating discrimination, throughout New York City.</w:t>
            </w:r>
          </w:p>
          <w:p w14:paraId="016F530C" w14:textId="77777777" w:rsidR="00891C97" w:rsidRPr="007F26D1" w:rsidRDefault="00891C97" w:rsidP="009A24D4">
            <w:pPr>
              <w:ind w:left="-18"/>
              <w:jc w:val="both"/>
              <w:rPr>
                <w:rFonts w:ascii="Arial" w:hAnsi="Arial" w:cs="Arial"/>
                <w:color w:val="000000"/>
                <w:sz w:val="20"/>
                <w:szCs w:val="20"/>
              </w:rPr>
            </w:pPr>
          </w:p>
          <w:p w14:paraId="26D1B1DA" w14:textId="77777777" w:rsidR="00891C97" w:rsidRPr="007F26D1" w:rsidRDefault="00891C97" w:rsidP="009A24D4">
            <w:pPr>
              <w:jc w:val="both"/>
              <w:rPr>
                <w:rFonts w:ascii="Arial" w:hAnsi="Arial" w:cs="Arial"/>
                <w:color w:val="000000"/>
                <w:sz w:val="20"/>
                <w:szCs w:val="20"/>
              </w:rPr>
            </w:pPr>
            <w:r w:rsidRPr="007F26D1">
              <w:rPr>
                <w:rFonts w:ascii="Arial" w:hAnsi="Arial" w:cs="Arial"/>
                <w:color w:val="000000"/>
                <w:sz w:val="20"/>
                <w:szCs w:val="20"/>
              </w:rPr>
              <w:t>Eligible HPD-financed projects will be subject to the Agency’s economic opportunity programs including HireNYC and M/WBE Build Up. Such projects must meet the obligations of each applicable program and initiative.  Additional information can be found at:</w:t>
            </w:r>
          </w:p>
          <w:p w14:paraId="55A0BE67" w14:textId="77777777" w:rsidR="00891C97" w:rsidRPr="007F26D1" w:rsidRDefault="00891C97" w:rsidP="009A24D4">
            <w:pPr>
              <w:jc w:val="both"/>
              <w:rPr>
                <w:rFonts w:ascii="Arial" w:hAnsi="Arial" w:cs="Arial"/>
                <w:color w:val="000000"/>
                <w:sz w:val="20"/>
                <w:szCs w:val="20"/>
              </w:rPr>
            </w:pPr>
          </w:p>
          <w:p w14:paraId="2769B752" w14:textId="77777777" w:rsidR="009A24D4" w:rsidRDefault="00000000" w:rsidP="009A24D4">
            <w:pPr>
              <w:jc w:val="both"/>
              <w:rPr>
                <w:color w:val="000000"/>
              </w:rPr>
            </w:pPr>
            <w:hyperlink r:id="rId27" w:history="1">
              <w:r w:rsidR="00891C97" w:rsidRPr="007F26D1">
                <w:rPr>
                  <w:rStyle w:val="Hyperlink"/>
                  <w:rFonts w:ascii="Arial" w:hAnsi="Arial" w:cs="Arial"/>
                  <w:sz w:val="20"/>
                  <w:szCs w:val="20"/>
                </w:rPr>
                <w:t>https://www1.nyc.gov/site/hpd/services-and-information/h</w:t>
              </w:r>
              <w:r w:rsidR="00891C97" w:rsidRPr="007F26D1">
                <w:rPr>
                  <w:rStyle w:val="Hyperlink"/>
                  <w:rFonts w:ascii="Arial" w:hAnsi="Arial" w:cs="Arial"/>
                  <w:sz w:val="20"/>
                  <w:szCs w:val="20"/>
                </w:rPr>
                <w:t>i</w:t>
              </w:r>
              <w:r w:rsidR="00891C97" w:rsidRPr="007F26D1">
                <w:rPr>
                  <w:rStyle w:val="Hyperlink"/>
                  <w:rFonts w:ascii="Arial" w:hAnsi="Arial" w:cs="Arial"/>
                  <w:sz w:val="20"/>
                  <w:szCs w:val="20"/>
                </w:rPr>
                <w:t>renyc.page</w:t>
              </w:r>
            </w:hyperlink>
          </w:p>
          <w:p w14:paraId="12B56254" w14:textId="30542705" w:rsidR="00891C97" w:rsidRPr="007F26D1" w:rsidRDefault="00000000" w:rsidP="009A24D4">
            <w:pPr>
              <w:jc w:val="both"/>
              <w:rPr>
                <w:rFonts w:ascii="Arial" w:hAnsi="Arial" w:cs="Arial"/>
                <w:color w:val="000000"/>
                <w:sz w:val="20"/>
                <w:szCs w:val="20"/>
              </w:rPr>
            </w:pPr>
            <w:hyperlink r:id="rId28" w:history="1">
              <w:r w:rsidR="00891C97" w:rsidRPr="007F26D1">
                <w:rPr>
                  <w:rStyle w:val="Hyperlink"/>
                  <w:rFonts w:ascii="Arial" w:hAnsi="Arial" w:cs="Arial"/>
                  <w:sz w:val="20"/>
                  <w:szCs w:val="20"/>
                </w:rPr>
                <w:t>https://www1.nyc.gov/site/hpd/services-and-information/m-wbe-b</w:t>
              </w:r>
              <w:r w:rsidR="00891C97" w:rsidRPr="007F26D1">
                <w:rPr>
                  <w:rStyle w:val="Hyperlink"/>
                  <w:rFonts w:ascii="Arial" w:hAnsi="Arial" w:cs="Arial"/>
                  <w:sz w:val="20"/>
                  <w:szCs w:val="20"/>
                </w:rPr>
                <w:t>u</w:t>
              </w:r>
              <w:r w:rsidR="00891C97" w:rsidRPr="007F26D1">
                <w:rPr>
                  <w:rStyle w:val="Hyperlink"/>
                  <w:rFonts w:ascii="Arial" w:hAnsi="Arial" w:cs="Arial"/>
                  <w:sz w:val="20"/>
                  <w:szCs w:val="20"/>
                </w:rPr>
                <w:t>ild-up-program.page</w:t>
              </w:r>
            </w:hyperlink>
            <w:r w:rsidR="00891C97" w:rsidRPr="007F26D1">
              <w:rPr>
                <w:rFonts w:ascii="Arial" w:hAnsi="Arial" w:cs="Arial"/>
                <w:color w:val="000000"/>
                <w:sz w:val="20"/>
                <w:szCs w:val="20"/>
              </w:rPr>
              <w:t xml:space="preserve">. </w:t>
            </w:r>
          </w:p>
          <w:p w14:paraId="1543DE8D" w14:textId="77777777" w:rsidR="00891C97" w:rsidRPr="007F26D1" w:rsidRDefault="00891C97" w:rsidP="009A24D4">
            <w:pPr>
              <w:jc w:val="both"/>
              <w:rPr>
                <w:rFonts w:ascii="Arial" w:hAnsi="Arial" w:cs="Arial"/>
                <w:b/>
                <w:sz w:val="20"/>
                <w:szCs w:val="20"/>
              </w:rPr>
            </w:pPr>
          </w:p>
        </w:tc>
      </w:tr>
    </w:tbl>
    <w:p w14:paraId="65686E96" w14:textId="0A9E166E" w:rsidR="00C915DA" w:rsidRPr="007F26D1" w:rsidRDefault="00C915DA">
      <w:pPr>
        <w:rPr>
          <w:rFonts w:ascii="Arial" w:hAnsi="Arial" w:cs="Arial"/>
          <w:sz w:val="20"/>
          <w:szCs w:val="20"/>
        </w:rPr>
      </w:pPr>
    </w:p>
    <w:p w14:paraId="14D6887A" w14:textId="5F86FB78" w:rsidR="00AB65BE" w:rsidRPr="007F26D1" w:rsidRDefault="00AB65BE" w:rsidP="000A436A">
      <w:pPr>
        <w:rPr>
          <w:rFonts w:ascii="Arial" w:hAnsi="Arial" w:cs="Arial"/>
          <w:sz w:val="20"/>
          <w:szCs w:val="20"/>
        </w:rPr>
      </w:pPr>
    </w:p>
    <w:p w14:paraId="3A71CF11" w14:textId="77777777" w:rsidR="00054FB8" w:rsidRPr="007F26D1" w:rsidRDefault="00054FB8" w:rsidP="002B39DF">
      <w:pPr>
        <w:jc w:val="both"/>
        <w:rPr>
          <w:rFonts w:ascii="Arial" w:hAnsi="Arial" w:cs="Arial"/>
          <w:i/>
          <w:iCs/>
          <w:sz w:val="20"/>
          <w:szCs w:val="20"/>
        </w:rPr>
      </w:pPr>
      <w:r w:rsidRPr="007F26D1">
        <w:rPr>
          <w:rFonts w:ascii="Arial" w:hAnsi="Arial" w:cs="Arial"/>
          <w:i/>
          <w:iCs/>
          <w:sz w:val="20"/>
          <w:szCs w:val="20"/>
        </w:rPr>
        <w:t>HPD, in its sole discretion, may, at any time and without prior notice, terminate the program, amend or waive compliance with any of its terms, or reject any or all proposals for funding.</w:t>
      </w:r>
    </w:p>
    <w:p w14:paraId="3B218456" w14:textId="77777777" w:rsidR="00EE0FAD" w:rsidRPr="007F26D1" w:rsidRDefault="00EE0FAD" w:rsidP="00054FB8">
      <w:pPr>
        <w:rPr>
          <w:rFonts w:ascii="Arial" w:hAnsi="Arial" w:cs="Arial"/>
          <w:i/>
          <w:iCs/>
          <w:sz w:val="20"/>
          <w:szCs w:val="20"/>
        </w:rPr>
      </w:pPr>
    </w:p>
    <w:p w14:paraId="0FDEA3D2" w14:textId="77777777" w:rsidR="00EE0FAD" w:rsidRPr="007F26D1" w:rsidRDefault="00EE0FAD" w:rsidP="00054FB8">
      <w:pPr>
        <w:rPr>
          <w:rFonts w:ascii="Arial" w:hAnsi="Arial" w:cs="Arial"/>
          <w:i/>
          <w:iCs/>
          <w:sz w:val="20"/>
          <w:szCs w:val="20"/>
        </w:rPr>
      </w:pPr>
    </w:p>
    <w:p w14:paraId="6B3F7B30" w14:textId="77777777" w:rsidR="00054FB8" w:rsidRPr="007F26D1" w:rsidRDefault="00054FB8" w:rsidP="00AC6591">
      <w:pPr>
        <w:rPr>
          <w:rFonts w:ascii="Arial" w:hAnsi="Arial" w:cs="Arial"/>
          <w:sz w:val="20"/>
          <w:szCs w:val="20"/>
        </w:rPr>
      </w:pPr>
    </w:p>
    <w:sectPr w:rsidR="00054FB8" w:rsidRPr="007F26D1" w:rsidSect="00FD4334">
      <w:headerReference w:type="default" r:id="rId29"/>
      <w:footerReference w:type="default" r:id="rId30"/>
      <w:headerReference w:type="first" r:id="rId31"/>
      <w:footerReference w:type="first" r:id="rId32"/>
      <w:pgSz w:w="12240" w:h="15840"/>
      <w:pgMar w:top="1008" w:right="1008" w:bottom="1008" w:left="100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D3D1" w14:textId="77777777" w:rsidR="00D17FEF" w:rsidRDefault="00D17FEF">
      <w:r>
        <w:separator/>
      </w:r>
    </w:p>
  </w:endnote>
  <w:endnote w:type="continuationSeparator" w:id="0">
    <w:p w14:paraId="4455655B" w14:textId="77777777" w:rsidR="00D17FEF" w:rsidRDefault="00D17FEF">
      <w:r>
        <w:continuationSeparator/>
      </w:r>
    </w:p>
  </w:endnote>
  <w:endnote w:type="continuationNotice" w:id="1">
    <w:p w14:paraId="6E86313A" w14:textId="77777777" w:rsidR="00D17FEF" w:rsidRDefault="00D17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E6DC" w14:textId="1E99CB1F" w:rsidR="00717110" w:rsidRPr="00BF13DC" w:rsidRDefault="00717110" w:rsidP="00FD4334">
    <w:pPr>
      <w:pStyle w:val="Footer"/>
      <w:tabs>
        <w:tab w:val="clear" w:pos="8640"/>
        <w:tab w:val="center" w:pos="5400"/>
        <w:tab w:val="left" w:pos="5567"/>
        <w:tab w:val="right" w:pos="10170"/>
        <w:tab w:val="right" w:pos="10800"/>
      </w:tabs>
      <w:jc w:val="center"/>
      <w:rPr>
        <w:i/>
      </w:rPr>
    </w:pPr>
    <w:r w:rsidRPr="00865EFA">
      <w:rPr>
        <w:rFonts w:ascii="Arial" w:hAnsi="Arial" w:cs="Arial"/>
        <w:i/>
        <w:sz w:val="20"/>
      </w:rPr>
      <w:t xml:space="preserve">HPD </w:t>
    </w:r>
    <w:r w:rsidR="001B389A">
      <w:rPr>
        <w:rFonts w:ascii="Arial" w:hAnsi="Arial" w:cs="Arial"/>
        <w:i/>
        <w:sz w:val="20"/>
      </w:rPr>
      <w:t>MIMI</w:t>
    </w:r>
    <w:r w:rsidR="006C2FBF" w:rsidRPr="00865EFA">
      <w:rPr>
        <w:rFonts w:ascii="Arial" w:hAnsi="Arial" w:cs="Arial"/>
        <w:i/>
        <w:sz w:val="20"/>
      </w:rPr>
      <w:t xml:space="preserve"> </w:t>
    </w:r>
    <w:r w:rsidR="001230C6">
      <w:rPr>
        <w:rFonts w:ascii="Arial" w:hAnsi="Arial" w:cs="Arial"/>
        <w:i/>
        <w:sz w:val="20"/>
      </w:rPr>
      <w:t>PROGRAM SUMMARY</w:t>
    </w:r>
    <w:r w:rsidR="00D2449C" w:rsidRPr="00865EFA">
      <w:rPr>
        <w:rFonts w:ascii="Arial" w:hAnsi="Arial" w:cs="Arial"/>
        <w:i/>
        <w:sz w:val="20"/>
        <w:szCs w:val="20"/>
      </w:rPr>
      <w:tab/>
    </w:r>
    <w:r w:rsidRPr="00BF13DC">
      <w:rPr>
        <w:rFonts w:ascii="Arial" w:hAnsi="Arial" w:cs="Arial"/>
        <w:i/>
        <w:sz w:val="18"/>
        <w:szCs w:val="18"/>
      </w:rPr>
      <w:tab/>
    </w:r>
    <w:sdt>
      <w:sdtPr>
        <w:rPr>
          <w:rFonts w:ascii="Arial" w:hAnsi="Arial" w:cs="Arial"/>
          <w:i/>
          <w:sz w:val="18"/>
          <w:szCs w:val="18"/>
        </w:rPr>
        <w:id w:val="1365944884"/>
        <w:docPartObj>
          <w:docPartGallery w:val="Page Numbers (Bottom of Page)"/>
          <w:docPartUnique/>
        </w:docPartObj>
      </w:sdtPr>
      <w:sdtEndPr>
        <w:rPr>
          <w:sz w:val="20"/>
          <w:szCs w:val="20"/>
        </w:rPr>
      </w:sdtEndPr>
      <w:sdtContent>
        <w:r w:rsidRPr="00865EFA">
          <w:rPr>
            <w:rFonts w:ascii="Arial" w:hAnsi="Arial" w:cs="Arial"/>
            <w:i/>
            <w:sz w:val="20"/>
            <w:szCs w:val="20"/>
          </w:rPr>
          <w:fldChar w:fldCharType="begin"/>
        </w:r>
        <w:r w:rsidRPr="00865EFA">
          <w:rPr>
            <w:rFonts w:ascii="Arial" w:hAnsi="Arial" w:cs="Arial"/>
            <w:i/>
            <w:sz w:val="20"/>
            <w:szCs w:val="20"/>
          </w:rPr>
          <w:instrText xml:space="preserve"> PAGE   \* MERGEFORMAT </w:instrText>
        </w:r>
        <w:r w:rsidRPr="00865EFA">
          <w:rPr>
            <w:rFonts w:ascii="Arial" w:hAnsi="Arial" w:cs="Arial"/>
            <w:i/>
            <w:sz w:val="20"/>
            <w:szCs w:val="20"/>
          </w:rPr>
          <w:fldChar w:fldCharType="separate"/>
        </w:r>
        <w:r w:rsidRPr="00865EFA">
          <w:rPr>
            <w:rFonts w:ascii="Arial" w:hAnsi="Arial" w:cs="Arial"/>
            <w:i/>
            <w:sz w:val="20"/>
            <w:szCs w:val="20"/>
          </w:rPr>
          <w:t>3</w:t>
        </w:r>
        <w:r w:rsidRPr="00865EFA">
          <w:rPr>
            <w:rFonts w:ascii="Arial" w:hAnsi="Arial" w:cs="Arial"/>
            <w:i/>
            <w:sz w:val="20"/>
            <w:szCs w:val="20"/>
          </w:rPr>
          <w:fldChar w:fldCharType="end"/>
        </w:r>
      </w:sdtContent>
    </w:sdt>
    <w:r w:rsidRPr="00BF13DC">
      <w:rPr>
        <w:rFonts w:ascii="Arial" w:hAnsi="Arial" w:cs="Arial"/>
        <w:i/>
        <w:sz w:val="18"/>
        <w:szCs w:val="18"/>
      </w:rPr>
      <w:tab/>
    </w:r>
    <w:r w:rsidRPr="00BF13DC">
      <w:rPr>
        <w:rFonts w:ascii="Arial" w:hAnsi="Arial" w:cs="Arial"/>
        <w:i/>
        <w:sz w:val="18"/>
        <w:szCs w:val="18"/>
      </w:rPr>
      <w:tab/>
      <w:t xml:space="preserve">                                           </w:t>
    </w:r>
    <w:r w:rsidR="00865EFA" w:rsidRPr="00BF13DC">
      <w:rPr>
        <w:rFonts w:ascii="Arial" w:hAnsi="Arial" w:cs="Arial"/>
        <w:i/>
        <w:sz w:val="18"/>
        <w:szCs w:val="18"/>
      </w:rPr>
      <w:t xml:space="preserve">DRAFT - </w:t>
    </w:r>
    <w:r w:rsidR="001230C6">
      <w:rPr>
        <w:rFonts w:ascii="Arial" w:hAnsi="Arial" w:cs="Arial"/>
        <w:i/>
        <w:sz w:val="18"/>
        <w:szCs w:val="18"/>
      </w:rPr>
      <w:t>NOVEMBER</w:t>
    </w:r>
    <w:r w:rsidR="006C2FBF" w:rsidRPr="00865EFA">
      <w:rPr>
        <w:rFonts w:ascii="Arial" w:hAnsi="Arial" w:cs="Arial"/>
        <w:i/>
        <w:sz w:val="18"/>
        <w:szCs w:val="18"/>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C421" w14:textId="77777777" w:rsidR="00D8112E" w:rsidRDefault="00D8112E" w:rsidP="00562361">
    <w:pPr>
      <w:pStyle w:val="Footer"/>
      <w:tabs>
        <w:tab w:val="center" w:pos="5400"/>
        <w:tab w:val="right" w:pos="10800"/>
      </w:tabs>
      <w:jc w:val="center"/>
      <w:rPr>
        <w:rFonts w:ascii="Arial" w:hAnsi="Arial" w:cs="Arial"/>
        <w:i/>
        <w:sz w:val="20"/>
      </w:rPr>
    </w:pPr>
  </w:p>
  <w:p w14:paraId="45D71B67" w14:textId="170E939A" w:rsidR="00717110" w:rsidRPr="00562361" w:rsidRDefault="00717110" w:rsidP="00562361">
    <w:pPr>
      <w:pStyle w:val="Footer"/>
      <w:tabs>
        <w:tab w:val="center" w:pos="5400"/>
        <w:tab w:val="right" w:pos="10800"/>
      </w:tabs>
      <w:jc w:val="center"/>
      <w:rPr>
        <w:rFonts w:ascii="Arial" w:hAnsi="Arial" w:cs="Arial"/>
        <w:i/>
        <w:sz w:val="18"/>
        <w:szCs w:val="18"/>
      </w:rPr>
    </w:pPr>
    <w:r>
      <w:rPr>
        <w:rFonts w:ascii="Arial" w:hAnsi="Arial" w:cs="Arial"/>
        <w:i/>
        <w:sz w:val="20"/>
      </w:rPr>
      <w:t xml:space="preserve">HPD </w:t>
    </w:r>
    <w:r w:rsidR="001B389A">
      <w:rPr>
        <w:rFonts w:ascii="Arial" w:hAnsi="Arial" w:cs="Arial"/>
        <w:i/>
        <w:sz w:val="20"/>
      </w:rPr>
      <w:t>MIMI</w:t>
    </w:r>
    <w:r w:rsidR="0015105B">
      <w:rPr>
        <w:rFonts w:ascii="Arial" w:hAnsi="Arial" w:cs="Arial"/>
        <w:i/>
        <w:sz w:val="20"/>
      </w:rPr>
      <w:t xml:space="preserve"> PROGRAM SUMMARY</w:t>
    </w:r>
    <w:r w:rsidRPr="00822439">
      <w:rPr>
        <w:rFonts w:ascii="Arial" w:hAnsi="Arial" w:cs="Arial"/>
        <w:sz w:val="18"/>
        <w:szCs w:val="18"/>
      </w:rPr>
      <w:tab/>
    </w:r>
    <w:sdt>
      <w:sdtPr>
        <w:rPr>
          <w:rFonts w:ascii="Arial" w:hAnsi="Arial" w:cs="Arial"/>
          <w:sz w:val="18"/>
          <w:szCs w:val="18"/>
        </w:rPr>
        <w:id w:val="419694202"/>
        <w:docPartObj>
          <w:docPartGallery w:val="Page Numbers (Bottom of Page)"/>
          <w:docPartUnique/>
        </w:docPartObj>
      </w:sdtPr>
      <w:sdtEndPr>
        <w:rPr>
          <w:noProof/>
        </w:rPr>
      </w:sdtEndPr>
      <w:sdtContent>
        <w:r>
          <w:rPr>
            <w:rFonts w:ascii="Arial" w:hAnsi="Arial" w:cs="Arial"/>
            <w:noProof/>
            <w:sz w:val="18"/>
            <w:szCs w:val="18"/>
          </w:rPr>
          <w:fldChar w:fldCharType="begin"/>
        </w:r>
        <w:r>
          <w:rPr>
            <w:rFonts w:ascii="Arial" w:hAnsi="Arial" w:cs="Arial"/>
            <w:noProof/>
            <w:sz w:val="18"/>
            <w:szCs w:val="18"/>
          </w:rPr>
          <w:instrText xml:space="preserve"> PAGE   \* MERGEFORMAT </w:instrText>
        </w:r>
        <w:r>
          <w:rPr>
            <w:rFonts w:ascii="Arial" w:hAnsi="Arial" w:cs="Arial"/>
            <w:noProof/>
            <w:sz w:val="18"/>
            <w:szCs w:val="18"/>
          </w:rPr>
          <w:fldChar w:fldCharType="separate"/>
        </w:r>
        <w:r>
          <w:rPr>
            <w:rFonts w:ascii="Arial" w:hAnsi="Arial" w:cs="Arial"/>
            <w:noProof/>
            <w:sz w:val="18"/>
            <w:szCs w:val="18"/>
          </w:rPr>
          <w:t>1</w:t>
        </w:r>
        <w:r>
          <w:rPr>
            <w:rFonts w:ascii="Arial" w:hAnsi="Arial" w:cs="Arial"/>
            <w:noProof/>
            <w:sz w:val="18"/>
            <w:szCs w:val="18"/>
          </w:rPr>
          <w:fldChar w:fldCharType="end"/>
        </w:r>
      </w:sdtContent>
    </w:sdt>
    <w:r w:rsidRPr="00822439">
      <w:rPr>
        <w:rFonts w:ascii="Arial" w:hAnsi="Arial" w:cs="Arial"/>
        <w:sz w:val="18"/>
        <w:szCs w:val="18"/>
      </w:rPr>
      <w:tab/>
      <w:t xml:space="preserve">                </w:t>
    </w:r>
    <w:r>
      <w:rPr>
        <w:rFonts w:ascii="Arial" w:hAnsi="Arial" w:cs="Arial"/>
        <w:sz w:val="18"/>
        <w:szCs w:val="18"/>
      </w:rPr>
      <w:t xml:space="preserve">    </w:t>
    </w:r>
    <w:r w:rsidRPr="00822439">
      <w:rPr>
        <w:rFonts w:ascii="Arial" w:hAnsi="Arial" w:cs="Arial"/>
        <w:sz w:val="18"/>
        <w:szCs w:val="18"/>
      </w:rPr>
      <w:t xml:space="preserve"> </w:t>
    </w:r>
    <w:r>
      <w:rPr>
        <w:rFonts w:ascii="Arial" w:hAnsi="Arial" w:cs="Arial"/>
        <w:sz w:val="18"/>
        <w:szCs w:val="18"/>
      </w:rPr>
      <w:t xml:space="preserve">                     </w:t>
    </w:r>
    <w:r w:rsidR="00D8112E">
      <w:rPr>
        <w:rFonts w:ascii="Arial" w:hAnsi="Arial" w:cs="Arial"/>
        <w:sz w:val="18"/>
        <w:szCs w:val="18"/>
      </w:rPr>
      <w:t xml:space="preserve">           </w:t>
    </w:r>
    <w:r>
      <w:rPr>
        <w:rFonts w:ascii="Arial" w:hAnsi="Arial" w:cs="Arial"/>
        <w:sz w:val="18"/>
        <w:szCs w:val="18"/>
      </w:rPr>
      <w:t xml:space="preserve"> </w:t>
    </w:r>
    <w:r w:rsidR="00D8112E">
      <w:rPr>
        <w:rFonts w:ascii="Arial" w:hAnsi="Arial" w:cs="Arial"/>
        <w:i/>
        <w:sz w:val="18"/>
        <w:szCs w:val="18"/>
      </w:rPr>
      <w:t xml:space="preserve">DRAFT – </w:t>
    </w:r>
    <w:r w:rsidR="00C27C6F">
      <w:rPr>
        <w:rFonts w:ascii="Arial" w:hAnsi="Arial" w:cs="Arial"/>
        <w:i/>
        <w:sz w:val="18"/>
        <w:szCs w:val="18"/>
      </w:rPr>
      <w:t>DECEMBER</w:t>
    </w:r>
    <w:r w:rsidR="00D8112E">
      <w:rPr>
        <w:rFonts w:ascii="Arial" w:hAnsi="Arial" w:cs="Arial"/>
        <w:i/>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C28A" w14:textId="77777777" w:rsidR="00D17FEF" w:rsidRDefault="00D17FEF">
      <w:r>
        <w:separator/>
      </w:r>
    </w:p>
  </w:footnote>
  <w:footnote w:type="continuationSeparator" w:id="0">
    <w:p w14:paraId="6D6BEAF4" w14:textId="77777777" w:rsidR="00D17FEF" w:rsidRDefault="00D17FEF">
      <w:r>
        <w:continuationSeparator/>
      </w:r>
    </w:p>
  </w:footnote>
  <w:footnote w:type="continuationNotice" w:id="1">
    <w:p w14:paraId="7E9EAD2B" w14:textId="77777777" w:rsidR="00D17FEF" w:rsidRDefault="00D17FEF"/>
  </w:footnote>
  <w:footnote w:id="2">
    <w:p w14:paraId="02B89B3D" w14:textId="77777777" w:rsidR="00FD4334" w:rsidRPr="007F26D1" w:rsidRDefault="00FD4334" w:rsidP="00FD4334">
      <w:pPr>
        <w:pStyle w:val="FootnoteText"/>
        <w:rPr>
          <w:rFonts w:ascii="Arial" w:hAnsi="Arial" w:cs="Arial"/>
          <w:sz w:val="16"/>
          <w:szCs w:val="16"/>
        </w:rPr>
      </w:pPr>
      <w:r w:rsidRPr="007F26D1">
        <w:rPr>
          <w:rStyle w:val="FootnoteReference"/>
          <w:rFonts w:ascii="Arial" w:hAnsi="Arial" w:cs="Arial"/>
          <w:sz w:val="16"/>
          <w:szCs w:val="16"/>
        </w:rPr>
        <w:footnoteRef/>
      </w:r>
      <w:r w:rsidRPr="007F26D1">
        <w:rPr>
          <w:rFonts w:ascii="Arial" w:hAnsi="Arial" w:cs="Arial"/>
          <w:sz w:val="16"/>
          <w:szCs w:val="16"/>
        </w:rPr>
        <w:t xml:space="preserve"> Extremely Low Income (ELI) units are units targeted to households earning 30% AMI or below (including any homeless and/or supportive housing units); Very Low Income (VLI) units are units targeted to households earning 31% - 50% AMI.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8958" w14:textId="77777777" w:rsidR="00717110" w:rsidRDefault="00717110" w:rsidP="00822439">
    <w:pPr>
      <w:pStyle w:val="Heading4"/>
      <w:jc w:val="center"/>
    </w:pPr>
    <w:r>
      <w:t>NYC Department of Housing Preservation and Development (HPD)</w:t>
    </w:r>
  </w:p>
  <w:p w14:paraId="13BCAD8B" w14:textId="77777777" w:rsidR="00717110" w:rsidRDefault="00717110" w:rsidP="002D48C1">
    <w:pPr>
      <w:pStyle w:val="Heading4"/>
      <w:pBdr>
        <w:bottom w:val="single" w:sz="4" w:space="1" w:color="auto"/>
      </w:pBdr>
      <w:jc w:val="center"/>
      <w:rPr>
        <w:b w:val="0"/>
      </w:rPr>
    </w:pPr>
    <w:r w:rsidRPr="00822439">
      <w:rPr>
        <w:b w:val="0"/>
      </w:rPr>
      <w:t>Office of Development, D</w:t>
    </w:r>
    <w:r>
      <w:rPr>
        <w:b w:val="0"/>
      </w:rPr>
      <w:t>ivision of New Construction Finance</w:t>
    </w:r>
  </w:p>
  <w:p w14:paraId="485A664B" w14:textId="77777777" w:rsidR="00717110" w:rsidRDefault="00717110" w:rsidP="00591E3E">
    <w:pPr>
      <w:pStyle w:val="Header"/>
      <w:jc w:val="right"/>
    </w:pPr>
  </w:p>
  <w:p w14:paraId="4D98B96F" w14:textId="77777777" w:rsidR="00D8112E" w:rsidRDefault="00D8112E" w:rsidP="00591E3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25E1" w14:textId="65AA0F38" w:rsidR="00717110" w:rsidRDefault="00717110" w:rsidP="00005700">
    <w:pPr>
      <w:pStyle w:val="Heading4"/>
      <w:jc w:val="center"/>
    </w:pPr>
    <w:r>
      <w:rPr>
        <w:noProof/>
      </w:rPr>
      <mc:AlternateContent>
        <mc:Choice Requires="wpg">
          <w:drawing>
            <wp:anchor distT="0" distB="0" distL="114300" distR="114300" simplePos="0" relativeHeight="251658240" behindDoc="0" locked="0" layoutInCell="1" allowOverlap="1" wp14:anchorId="6F732E40" wp14:editId="30C25120">
              <wp:simplePos x="0" y="0"/>
              <wp:positionH relativeFrom="column">
                <wp:posOffset>-133350</wp:posOffset>
              </wp:positionH>
              <wp:positionV relativeFrom="paragraph">
                <wp:posOffset>-188595</wp:posOffset>
              </wp:positionV>
              <wp:extent cx="1066800" cy="775970"/>
              <wp:effectExtent l="0" t="0" r="0" b="508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775970"/>
                        <a:chOff x="0" y="0"/>
                        <a:chExt cx="1066800" cy="775970"/>
                      </a:xfrm>
                    </wpg:grpSpPr>
                    <pic:pic xmlns:pic="http://schemas.openxmlformats.org/drawingml/2006/picture">
                      <pic:nvPicPr>
                        <pic:cNvPr id="7" name="Picture 4" descr="HPD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666750"/>
                        </a:xfrm>
                        <a:prstGeom prst="rect">
                          <a:avLst/>
                        </a:prstGeom>
                        <a:noFill/>
                        <a:ln>
                          <a:noFill/>
                        </a:ln>
                      </pic:spPr>
                    </pic:pic>
                    <wps:wsp>
                      <wps:cNvPr id="8" name="Text Box 191"/>
                      <wps:cNvSpPr txBox="1">
                        <a:spLocks noChangeArrowheads="1"/>
                      </wps:cNvSpPr>
                      <wps:spPr bwMode="auto">
                        <a:xfrm>
                          <a:off x="0" y="619125"/>
                          <a:ext cx="80137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067A" w14:textId="77777777" w:rsidR="00717110" w:rsidRPr="007F64E6" w:rsidRDefault="00717110" w:rsidP="00005700">
                            <w:pPr>
                              <w:suppressAutoHyphens/>
                              <w:spacing w:line="220" w:lineRule="exact"/>
                              <w:rPr>
                                <w:rFonts w:ascii="Helvetica" w:hAnsi="Helvetica"/>
                                <w:sz w:val="16"/>
                              </w:rPr>
                            </w:pPr>
                            <w:r w:rsidRPr="007F64E6">
                              <w:rPr>
                                <w:rFonts w:ascii="Helvetica" w:hAnsi="Helvetica"/>
                                <w:b/>
                                <w:sz w:val="16"/>
                                <w:szCs w:val="16"/>
                              </w:rPr>
                              <w:t>nyc.gov/hpd</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w14:anchorId="3D64D429">
            <v:group id="Group 9" style="position:absolute;left:0;text-align:left;margin-left:-10.5pt;margin-top:-14.85pt;width:84pt;height:61.1pt;z-index:251658240;mso-height-relative:margin" coordsize="10668,7759" o:spid="_x0000_s1026" w14:anchorId="6F732E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10668;height:6667;visibility:visible;mso-wrap-style:square" alt="HPD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">
                <v:imagedata o:title="HPD Logo" r:id="rId2"/>
              </v:shape>
              <v:shapetype id="_x0000_t202" coordsize="21600,21600" o:spt="202" path="m,l,21600r21600,l21600,xe">
                <v:stroke joinstyle="miter"/>
                <v:path gradientshapeok="t" o:connecttype="rect"/>
              </v:shapetype>
              <v:shape id="Text Box 191" style="position:absolute;top:6191;width:8013;height:1568;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v:textbox inset="0,0,0,0">
                  <w:txbxContent>
                    <w:p w:rsidRPr="007F64E6" w:rsidR="00717110" w:rsidP="00005700" w:rsidRDefault="00717110" w14:paraId="0D3CA60E" w14:textId="77777777">
                      <w:pPr>
                        <w:suppressAutoHyphens/>
                        <w:spacing w:line="220" w:lineRule="exact"/>
                        <w:rPr>
                          <w:rFonts w:ascii="Helvetica" w:hAnsi="Helvetica"/>
                          <w:sz w:val="16"/>
                        </w:rPr>
                      </w:pPr>
                      <w:r w:rsidRPr="007F64E6">
                        <w:rPr>
                          <w:rFonts w:ascii="Helvetica" w:hAnsi="Helvetica"/>
                          <w:b/>
                          <w:sz w:val="16"/>
                          <w:szCs w:val="16"/>
                        </w:rPr>
                        <w:t>nyc.gov/</w:t>
                      </w:r>
                      <w:proofErr w:type="spellStart"/>
                      <w:r w:rsidRPr="007F64E6">
                        <w:rPr>
                          <w:rFonts w:ascii="Helvetica" w:hAnsi="Helvetica"/>
                          <w:b/>
                          <w:sz w:val="16"/>
                          <w:szCs w:val="16"/>
                        </w:rPr>
                        <w:t>hpd</w:t>
                      </w:r>
                      <w:proofErr w:type="spellEnd"/>
                    </w:p>
                  </w:txbxContent>
                </v:textbox>
              </v:shape>
            </v:group>
          </w:pict>
        </mc:Fallback>
      </mc:AlternateContent>
    </w:r>
    <w:r>
      <w:t xml:space="preserve">NYC Department of Housing Preservation and Development (HPD) </w:t>
    </w:r>
  </w:p>
  <w:p w14:paraId="1B8F1B88" w14:textId="77777777" w:rsidR="00717110" w:rsidRDefault="00717110" w:rsidP="002D48C1">
    <w:pPr>
      <w:pStyle w:val="Heading4"/>
      <w:jc w:val="center"/>
      <w:rPr>
        <w:b w:val="0"/>
      </w:rPr>
    </w:pPr>
    <w:r w:rsidRPr="00822439">
      <w:rPr>
        <w:b w:val="0"/>
      </w:rPr>
      <w:t>Office of Development, D</w:t>
    </w:r>
    <w:r>
      <w:rPr>
        <w:b w:val="0"/>
      </w:rPr>
      <w:t>ivision of New Construction Finance</w:t>
    </w:r>
  </w:p>
  <w:p w14:paraId="5C1FEE5F" w14:textId="77777777" w:rsidR="00717110" w:rsidRPr="00023BC8" w:rsidRDefault="00717110" w:rsidP="00023BC8">
    <w:pPr>
      <w:pStyle w:val="Heading4"/>
      <w:jc w:val="center"/>
      <w:rPr>
        <w:b w:val="0"/>
      </w:rPr>
    </w:pPr>
  </w:p>
  <w:p w14:paraId="500894AB" w14:textId="77777777" w:rsidR="00717110" w:rsidRDefault="00717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97B"/>
    <w:multiLevelType w:val="hybridMultilevel"/>
    <w:tmpl w:val="883E11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004F7A8F"/>
    <w:multiLevelType w:val="hybridMultilevel"/>
    <w:tmpl w:val="7F348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15:restartNumberingAfterBreak="0">
    <w:nsid w:val="016126B5"/>
    <w:multiLevelType w:val="hybridMultilevel"/>
    <w:tmpl w:val="40C8C47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1C4643B"/>
    <w:multiLevelType w:val="hybridMultilevel"/>
    <w:tmpl w:val="A88C7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41DE3"/>
    <w:multiLevelType w:val="hybridMultilevel"/>
    <w:tmpl w:val="524214C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8196D"/>
    <w:multiLevelType w:val="hybridMultilevel"/>
    <w:tmpl w:val="2B1E85B2"/>
    <w:lvl w:ilvl="0" w:tplc="36A27676">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D9140C"/>
    <w:multiLevelType w:val="hybridMultilevel"/>
    <w:tmpl w:val="76980B52"/>
    <w:lvl w:ilvl="0" w:tplc="36A27676">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066B96"/>
    <w:multiLevelType w:val="hybridMultilevel"/>
    <w:tmpl w:val="56C890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67BB1"/>
    <w:multiLevelType w:val="hybridMultilevel"/>
    <w:tmpl w:val="BBE83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A19EA"/>
    <w:multiLevelType w:val="hybridMultilevel"/>
    <w:tmpl w:val="0F02266E"/>
    <w:lvl w:ilvl="0" w:tplc="36A27676">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AB72CD"/>
    <w:multiLevelType w:val="hybridMultilevel"/>
    <w:tmpl w:val="A50673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1F3F771A"/>
    <w:multiLevelType w:val="hybridMultilevel"/>
    <w:tmpl w:val="1BC00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171CE"/>
    <w:multiLevelType w:val="hybridMultilevel"/>
    <w:tmpl w:val="63A2DC5E"/>
    <w:lvl w:ilvl="0" w:tplc="36A27676">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C95F21"/>
    <w:multiLevelType w:val="hybridMultilevel"/>
    <w:tmpl w:val="E14E2306"/>
    <w:lvl w:ilvl="0" w:tplc="BD6A152C">
      <w:start w:val="1"/>
      <w:numFmt w:val="bullet"/>
      <w:lvlText w:val=""/>
      <w:lvlJc w:val="left"/>
      <w:pPr>
        <w:tabs>
          <w:tab w:val="num" w:pos="738"/>
        </w:tabs>
        <w:ind w:left="738" w:hanging="360"/>
      </w:pPr>
      <w:rPr>
        <w:rFonts w:ascii="Symbol" w:hAnsi="Symbol" w:hint="default"/>
        <w:color w:val="auto"/>
        <w:sz w:val="16"/>
      </w:rPr>
    </w:lvl>
    <w:lvl w:ilvl="1" w:tplc="04090003" w:tentative="1">
      <w:start w:val="1"/>
      <w:numFmt w:val="bullet"/>
      <w:lvlText w:val="o"/>
      <w:lvlJc w:val="left"/>
      <w:pPr>
        <w:tabs>
          <w:tab w:val="num" w:pos="1458"/>
        </w:tabs>
        <w:ind w:left="1458" w:hanging="360"/>
      </w:pPr>
      <w:rPr>
        <w:rFonts w:ascii="Courier New" w:hAnsi="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14" w15:restartNumberingAfterBreak="0">
    <w:nsid w:val="25EB659A"/>
    <w:multiLevelType w:val="hybridMultilevel"/>
    <w:tmpl w:val="79645A4E"/>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Symbo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Symbo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2C6F66D8"/>
    <w:multiLevelType w:val="hybridMultilevel"/>
    <w:tmpl w:val="285E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7F4CEF"/>
    <w:multiLevelType w:val="hybridMultilevel"/>
    <w:tmpl w:val="41B0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C7BA1"/>
    <w:multiLevelType w:val="hybridMultilevel"/>
    <w:tmpl w:val="B7E442B4"/>
    <w:lvl w:ilvl="0" w:tplc="04090001">
      <w:start w:val="1"/>
      <w:numFmt w:val="bullet"/>
      <w:lvlText w:val=""/>
      <w:lvlJc w:val="left"/>
      <w:pPr>
        <w:tabs>
          <w:tab w:val="num" w:pos="360"/>
        </w:tabs>
        <w:ind w:left="360" w:hanging="360"/>
      </w:pPr>
      <w:rPr>
        <w:rFonts w:ascii="Symbol" w:hAnsi="Symbol" w:hint="default"/>
      </w:rPr>
    </w:lvl>
    <w:lvl w:ilvl="1" w:tplc="BD6A152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3314C3"/>
    <w:multiLevelType w:val="hybridMultilevel"/>
    <w:tmpl w:val="5AAA9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9C1B04"/>
    <w:multiLevelType w:val="hybridMultilevel"/>
    <w:tmpl w:val="D3724CC8"/>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0" w15:restartNumberingAfterBreak="0">
    <w:nsid w:val="3BED3124"/>
    <w:multiLevelType w:val="hybridMultilevel"/>
    <w:tmpl w:val="AFA6FE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3BF158BC"/>
    <w:multiLevelType w:val="hybridMultilevel"/>
    <w:tmpl w:val="C736F1E4"/>
    <w:lvl w:ilvl="0" w:tplc="DE7269BE">
      <w:start w:val="1"/>
      <w:numFmt w:val="bullet"/>
      <w:lvlText w:val=""/>
      <w:legacy w:legacy="1" w:legacySpace="120" w:legacyIndent="360"/>
      <w:lvlJc w:val="left"/>
      <w:pPr>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A71A7A"/>
    <w:multiLevelType w:val="hybridMultilevel"/>
    <w:tmpl w:val="682CC826"/>
    <w:lvl w:ilvl="0" w:tplc="E4786800">
      <w:start w:val="6"/>
      <w:numFmt w:val="bullet"/>
      <w:lvlText w:val="-"/>
      <w:lvlJc w:val="left"/>
      <w:pPr>
        <w:ind w:left="776" w:hanging="360"/>
      </w:pPr>
      <w:rPr>
        <w:rFonts w:ascii="Arial" w:eastAsia="Times New Roman" w:hAnsi="Arial" w:cs="Aria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47B82A60"/>
    <w:multiLevelType w:val="hybridMultilevel"/>
    <w:tmpl w:val="A3267B1C"/>
    <w:lvl w:ilvl="0" w:tplc="B92AF1E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30CC7"/>
    <w:multiLevelType w:val="hybridMultilevel"/>
    <w:tmpl w:val="84123CEA"/>
    <w:lvl w:ilvl="0" w:tplc="C208557A">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9415B"/>
    <w:multiLevelType w:val="hybridMultilevel"/>
    <w:tmpl w:val="313EA42C"/>
    <w:lvl w:ilvl="0" w:tplc="C408167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F41340"/>
    <w:multiLevelType w:val="hybridMultilevel"/>
    <w:tmpl w:val="4F68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E6AF0"/>
    <w:multiLevelType w:val="hybridMultilevel"/>
    <w:tmpl w:val="922C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B45127"/>
    <w:multiLevelType w:val="hybridMultilevel"/>
    <w:tmpl w:val="0464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57E65"/>
    <w:multiLevelType w:val="hybridMultilevel"/>
    <w:tmpl w:val="825C7A4C"/>
    <w:lvl w:ilvl="0" w:tplc="3C7A93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37759"/>
    <w:multiLevelType w:val="hybridMultilevel"/>
    <w:tmpl w:val="63FC51F0"/>
    <w:lvl w:ilvl="0" w:tplc="3446AD7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331F7"/>
    <w:multiLevelType w:val="hybridMultilevel"/>
    <w:tmpl w:val="277067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00B4493"/>
    <w:multiLevelType w:val="hybridMultilevel"/>
    <w:tmpl w:val="59C8CF36"/>
    <w:lvl w:ilvl="0" w:tplc="0409000F">
      <w:start w:val="1"/>
      <w:numFmt w:val="upperLetter"/>
      <w:pStyle w:val="lettersubind"/>
      <w:lvlText w:val="%1."/>
      <w:lvlJc w:val="left"/>
      <w:pPr>
        <w:tabs>
          <w:tab w:val="num" w:pos="540"/>
        </w:tabs>
        <w:ind w:left="540" w:hanging="360"/>
      </w:pPr>
      <w:rPr>
        <w:b/>
      </w:rPr>
    </w:lvl>
    <w:lvl w:ilvl="1" w:tplc="04090019">
      <w:start w:val="1"/>
      <w:numFmt w:val="lowerLetter"/>
      <w:lvlText w:val="%2."/>
      <w:lvlJc w:val="left"/>
      <w:pPr>
        <w:tabs>
          <w:tab w:val="num" w:pos="1440"/>
        </w:tabs>
        <w:ind w:left="1440" w:hanging="360"/>
      </w:pPr>
    </w:lvl>
    <w:lvl w:ilvl="2" w:tplc="0409001B">
      <w:start w:val="4"/>
      <w:numFmt w:val="upp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87D6376"/>
    <w:multiLevelType w:val="hybridMultilevel"/>
    <w:tmpl w:val="DD0A5662"/>
    <w:lvl w:ilvl="0" w:tplc="36A27676">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7A555E"/>
    <w:multiLevelType w:val="hybridMultilevel"/>
    <w:tmpl w:val="88021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7829F3"/>
    <w:multiLevelType w:val="hybridMultilevel"/>
    <w:tmpl w:val="F62A4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3581B"/>
    <w:multiLevelType w:val="hybridMultilevel"/>
    <w:tmpl w:val="948A076C"/>
    <w:lvl w:ilvl="0" w:tplc="3BF21024">
      <w:start w:val="1"/>
      <w:numFmt w:val="bullet"/>
      <w:lvlText w:val="•"/>
      <w:lvlJc w:val="left"/>
      <w:pPr>
        <w:tabs>
          <w:tab w:val="num" w:pos="720"/>
        </w:tabs>
        <w:ind w:left="720" w:hanging="360"/>
      </w:pPr>
      <w:rPr>
        <w:rFonts w:ascii="Arial" w:hAnsi="Arial" w:hint="default"/>
      </w:rPr>
    </w:lvl>
    <w:lvl w:ilvl="1" w:tplc="A88C9E70">
      <w:start w:val="1"/>
      <w:numFmt w:val="bullet"/>
      <w:lvlText w:val="•"/>
      <w:lvlJc w:val="left"/>
      <w:pPr>
        <w:tabs>
          <w:tab w:val="num" w:pos="1440"/>
        </w:tabs>
        <w:ind w:left="1440" w:hanging="360"/>
      </w:pPr>
      <w:rPr>
        <w:rFonts w:ascii="Arial" w:hAnsi="Arial" w:hint="default"/>
      </w:rPr>
    </w:lvl>
    <w:lvl w:ilvl="2" w:tplc="95A445A4" w:tentative="1">
      <w:start w:val="1"/>
      <w:numFmt w:val="bullet"/>
      <w:lvlText w:val="•"/>
      <w:lvlJc w:val="left"/>
      <w:pPr>
        <w:tabs>
          <w:tab w:val="num" w:pos="2160"/>
        </w:tabs>
        <w:ind w:left="2160" w:hanging="360"/>
      </w:pPr>
      <w:rPr>
        <w:rFonts w:ascii="Arial" w:hAnsi="Arial" w:hint="default"/>
      </w:rPr>
    </w:lvl>
    <w:lvl w:ilvl="3" w:tplc="0DEC5254" w:tentative="1">
      <w:start w:val="1"/>
      <w:numFmt w:val="bullet"/>
      <w:lvlText w:val="•"/>
      <w:lvlJc w:val="left"/>
      <w:pPr>
        <w:tabs>
          <w:tab w:val="num" w:pos="2880"/>
        </w:tabs>
        <w:ind w:left="2880" w:hanging="360"/>
      </w:pPr>
      <w:rPr>
        <w:rFonts w:ascii="Arial" w:hAnsi="Arial" w:hint="default"/>
      </w:rPr>
    </w:lvl>
    <w:lvl w:ilvl="4" w:tplc="F198EF50" w:tentative="1">
      <w:start w:val="1"/>
      <w:numFmt w:val="bullet"/>
      <w:lvlText w:val="•"/>
      <w:lvlJc w:val="left"/>
      <w:pPr>
        <w:tabs>
          <w:tab w:val="num" w:pos="3600"/>
        </w:tabs>
        <w:ind w:left="3600" w:hanging="360"/>
      </w:pPr>
      <w:rPr>
        <w:rFonts w:ascii="Arial" w:hAnsi="Arial" w:hint="default"/>
      </w:rPr>
    </w:lvl>
    <w:lvl w:ilvl="5" w:tplc="6FAEF646" w:tentative="1">
      <w:start w:val="1"/>
      <w:numFmt w:val="bullet"/>
      <w:lvlText w:val="•"/>
      <w:lvlJc w:val="left"/>
      <w:pPr>
        <w:tabs>
          <w:tab w:val="num" w:pos="4320"/>
        </w:tabs>
        <w:ind w:left="4320" w:hanging="360"/>
      </w:pPr>
      <w:rPr>
        <w:rFonts w:ascii="Arial" w:hAnsi="Arial" w:hint="default"/>
      </w:rPr>
    </w:lvl>
    <w:lvl w:ilvl="6" w:tplc="750006D2" w:tentative="1">
      <w:start w:val="1"/>
      <w:numFmt w:val="bullet"/>
      <w:lvlText w:val="•"/>
      <w:lvlJc w:val="left"/>
      <w:pPr>
        <w:tabs>
          <w:tab w:val="num" w:pos="5040"/>
        </w:tabs>
        <w:ind w:left="5040" w:hanging="360"/>
      </w:pPr>
      <w:rPr>
        <w:rFonts w:ascii="Arial" w:hAnsi="Arial" w:hint="default"/>
      </w:rPr>
    </w:lvl>
    <w:lvl w:ilvl="7" w:tplc="0854E034" w:tentative="1">
      <w:start w:val="1"/>
      <w:numFmt w:val="bullet"/>
      <w:lvlText w:val="•"/>
      <w:lvlJc w:val="left"/>
      <w:pPr>
        <w:tabs>
          <w:tab w:val="num" w:pos="5760"/>
        </w:tabs>
        <w:ind w:left="5760" w:hanging="360"/>
      </w:pPr>
      <w:rPr>
        <w:rFonts w:ascii="Arial" w:hAnsi="Arial" w:hint="default"/>
      </w:rPr>
    </w:lvl>
    <w:lvl w:ilvl="8" w:tplc="C1A08F4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AE2293"/>
    <w:multiLevelType w:val="hybridMultilevel"/>
    <w:tmpl w:val="4E9ADB50"/>
    <w:lvl w:ilvl="0" w:tplc="158E2EE8">
      <w:start w:val="1"/>
      <w:numFmt w:val="bullet"/>
      <w:lvlText w:val=""/>
      <w:lvlJc w:val="left"/>
      <w:pPr>
        <w:tabs>
          <w:tab w:val="num" w:pos="720"/>
        </w:tabs>
        <w:ind w:left="720" w:hanging="360"/>
      </w:pPr>
      <w:rPr>
        <w:rFonts w:ascii="Wingdings" w:hAnsi="Wingdings" w:hint="default"/>
      </w:rPr>
    </w:lvl>
    <w:lvl w:ilvl="1" w:tplc="FB1E4512" w:tentative="1">
      <w:start w:val="1"/>
      <w:numFmt w:val="bullet"/>
      <w:lvlText w:val=""/>
      <w:lvlJc w:val="left"/>
      <w:pPr>
        <w:tabs>
          <w:tab w:val="num" w:pos="1440"/>
        </w:tabs>
        <w:ind w:left="1440" w:hanging="360"/>
      </w:pPr>
      <w:rPr>
        <w:rFonts w:ascii="Wingdings" w:hAnsi="Wingdings" w:hint="default"/>
      </w:rPr>
    </w:lvl>
    <w:lvl w:ilvl="2" w:tplc="2E0A7A82" w:tentative="1">
      <w:start w:val="1"/>
      <w:numFmt w:val="bullet"/>
      <w:lvlText w:val=""/>
      <w:lvlJc w:val="left"/>
      <w:pPr>
        <w:tabs>
          <w:tab w:val="num" w:pos="2160"/>
        </w:tabs>
        <w:ind w:left="2160" w:hanging="360"/>
      </w:pPr>
      <w:rPr>
        <w:rFonts w:ascii="Wingdings" w:hAnsi="Wingdings" w:hint="default"/>
      </w:rPr>
    </w:lvl>
    <w:lvl w:ilvl="3" w:tplc="3F2853D6" w:tentative="1">
      <w:start w:val="1"/>
      <w:numFmt w:val="bullet"/>
      <w:lvlText w:val=""/>
      <w:lvlJc w:val="left"/>
      <w:pPr>
        <w:tabs>
          <w:tab w:val="num" w:pos="2880"/>
        </w:tabs>
        <w:ind w:left="2880" w:hanging="360"/>
      </w:pPr>
      <w:rPr>
        <w:rFonts w:ascii="Wingdings" w:hAnsi="Wingdings" w:hint="default"/>
      </w:rPr>
    </w:lvl>
    <w:lvl w:ilvl="4" w:tplc="C22EFBDA" w:tentative="1">
      <w:start w:val="1"/>
      <w:numFmt w:val="bullet"/>
      <w:lvlText w:val=""/>
      <w:lvlJc w:val="left"/>
      <w:pPr>
        <w:tabs>
          <w:tab w:val="num" w:pos="3600"/>
        </w:tabs>
        <w:ind w:left="3600" w:hanging="360"/>
      </w:pPr>
      <w:rPr>
        <w:rFonts w:ascii="Wingdings" w:hAnsi="Wingdings" w:hint="default"/>
      </w:rPr>
    </w:lvl>
    <w:lvl w:ilvl="5" w:tplc="78141A28" w:tentative="1">
      <w:start w:val="1"/>
      <w:numFmt w:val="bullet"/>
      <w:lvlText w:val=""/>
      <w:lvlJc w:val="left"/>
      <w:pPr>
        <w:tabs>
          <w:tab w:val="num" w:pos="4320"/>
        </w:tabs>
        <w:ind w:left="4320" w:hanging="360"/>
      </w:pPr>
      <w:rPr>
        <w:rFonts w:ascii="Wingdings" w:hAnsi="Wingdings" w:hint="default"/>
      </w:rPr>
    </w:lvl>
    <w:lvl w:ilvl="6" w:tplc="E13C3C96" w:tentative="1">
      <w:start w:val="1"/>
      <w:numFmt w:val="bullet"/>
      <w:lvlText w:val=""/>
      <w:lvlJc w:val="left"/>
      <w:pPr>
        <w:tabs>
          <w:tab w:val="num" w:pos="5040"/>
        </w:tabs>
        <w:ind w:left="5040" w:hanging="360"/>
      </w:pPr>
      <w:rPr>
        <w:rFonts w:ascii="Wingdings" w:hAnsi="Wingdings" w:hint="default"/>
      </w:rPr>
    </w:lvl>
    <w:lvl w:ilvl="7" w:tplc="97029D36" w:tentative="1">
      <w:start w:val="1"/>
      <w:numFmt w:val="bullet"/>
      <w:lvlText w:val=""/>
      <w:lvlJc w:val="left"/>
      <w:pPr>
        <w:tabs>
          <w:tab w:val="num" w:pos="5760"/>
        </w:tabs>
        <w:ind w:left="5760" w:hanging="360"/>
      </w:pPr>
      <w:rPr>
        <w:rFonts w:ascii="Wingdings" w:hAnsi="Wingdings" w:hint="default"/>
      </w:rPr>
    </w:lvl>
    <w:lvl w:ilvl="8" w:tplc="BE08EE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9737B"/>
    <w:multiLevelType w:val="hybridMultilevel"/>
    <w:tmpl w:val="75A4BA2C"/>
    <w:lvl w:ilvl="0" w:tplc="36A2767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4800D1"/>
    <w:multiLevelType w:val="hybridMultilevel"/>
    <w:tmpl w:val="08F2A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DC3406"/>
    <w:multiLevelType w:val="hybridMultilevel"/>
    <w:tmpl w:val="EAA09B96"/>
    <w:lvl w:ilvl="0" w:tplc="04090001">
      <w:start w:val="1"/>
      <w:numFmt w:val="bullet"/>
      <w:lvlText w:val=""/>
      <w:lvlJc w:val="left"/>
      <w:pPr>
        <w:tabs>
          <w:tab w:val="num" w:pos="552"/>
        </w:tabs>
        <w:ind w:left="55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0613066">
    <w:abstractNumId w:val="24"/>
  </w:num>
  <w:num w:numId="2" w16cid:durableId="1032388948">
    <w:abstractNumId w:val="8"/>
  </w:num>
  <w:num w:numId="3" w16cid:durableId="772826729">
    <w:abstractNumId w:val="14"/>
  </w:num>
  <w:num w:numId="4" w16cid:durableId="2130393472">
    <w:abstractNumId w:val="18"/>
  </w:num>
  <w:num w:numId="5" w16cid:durableId="368455802">
    <w:abstractNumId w:val="17"/>
  </w:num>
  <w:num w:numId="6" w16cid:durableId="129131823">
    <w:abstractNumId w:val="4"/>
  </w:num>
  <w:num w:numId="7" w16cid:durableId="627007575">
    <w:abstractNumId w:val="21"/>
  </w:num>
  <w:num w:numId="8" w16cid:durableId="19741409">
    <w:abstractNumId w:val="10"/>
  </w:num>
  <w:num w:numId="9" w16cid:durableId="1279487202">
    <w:abstractNumId w:val="1"/>
  </w:num>
  <w:num w:numId="10" w16cid:durableId="886840608">
    <w:abstractNumId w:val="0"/>
  </w:num>
  <w:num w:numId="11" w16cid:durableId="2065833568">
    <w:abstractNumId w:val="20"/>
  </w:num>
  <w:num w:numId="12" w16cid:durableId="1966160427">
    <w:abstractNumId w:val="28"/>
  </w:num>
  <w:num w:numId="13" w16cid:durableId="451901310">
    <w:abstractNumId w:val="26"/>
  </w:num>
  <w:num w:numId="14" w16cid:durableId="1553809641">
    <w:abstractNumId w:val="30"/>
  </w:num>
  <w:num w:numId="15" w16cid:durableId="1290823816">
    <w:abstractNumId w:val="7"/>
  </w:num>
  <w:num w:numId="16" w16cid:durableId="1304433079">
    <w:abstractNumId w:val="3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7146640">
    <w:abstractNumId w:val="27"/>
  </w:num>
  <w:num w:numId="18" w16cid:durableId="2021471327">
    <w:abstractNumId w:val="25"/>
  </w:num>
  <w:num w:numId="19" w16cid:durableId="960916869">
    <w:abstractNumId w:val="19"/>
  </w:num>
  <w:num w:numId="20" w16cid:durableId="595139350">
    <w:abstractNumId w:val="16"/>
  </w:num>
  <w:num w:numId="21" w16cid:durableId="308438447">
    <w:abstractNumId w:val="13"/>
  </w:num>
  <w:num w:numId="22" w16cid:durableId="1514225824">
    <w:abstractNumId w:val="2"/>
  </w:num>
  <w:num w:numId="23" w16cid:durableId="2142308829">
    <w:abstractNumId w:val="40"/>
  </w:num>
  <w:num w:numId="24" w16cid:durableId="1245341518">
    <w:abstractNumId w:val="39"/>
  </w:num>
  <w:num w:numId="25" w16cid:durableId="1717198573">
    <w:abstractNumId w:val="6"/>
  </w:num>
  <w:num w:numId="26" w16cid:durableId="1919173176">
    <w:abstractNumId w:val="33"/>
  </w:num>
  <w:num w:numId="27" w16cid:durableId="1424717154">
    <w:abstractNumId w:val="12"/>
  </w:num>
  <w:num w:numId="28" w16cid:durableId="473834598">
    <w:abstractNumId w:val="5"/>
  </w:num>
  <w:num w:numId="29" w16cid:durableId="232930201">
    <w:abstractNumId w:val="9"/>
  </w:num>
  <w:num w:numId="30" w16cid:durableId="79762029">
    <w:abstractNumId w:val="38"/>
  </w:num>
  <w:num w:numId="31" w16cid:durableId="1382556872">
    <w:abstractNumId w:val="31"/>
  </w:num>
  <w:num w:numId="32" w16cid:durableId="109783043">
    <w:abstractNumId w:val="15"/>
  </w:num>
  <w:num w:numId="33" w16cid:durableId="1768378796">
    <w:abstractNumId w:val="11"/>
  </w:num>
  <w:num w:numId="34" w16cid:durableId="1615016197">
    <w:abstractNumId w:val="37"/>
  </w:num>
  <w:num w:numId="35" w16cid:durableId="371613388">
    <w:abstractNumId w:val="23"/>
  </w:num>
  <w:num w:numId="36" w16cid:durableId="354961703">
    <w:abstractNumId w:val="29"/>
  </w:num>
  <w:num w:numId="37" w16cid:durableId="1988777010">
    <w:abstractNumId w:val="22"/>
  </w:num>
  <w:num w:numId="38" w16cid:durableId="579215310">
    <w:abstractNumId w:val="36"/>
  </w:num>
  <w:num w:numId="39" w16cid:durableId="1277130829">
    <w:abstractNumId w:val="35"/>
  </w:num>
  <w:num w:numId="40" w16cid:durableId="646321325">
    <w:abstractNumId w:val="34"/>
  </w:num>
  <w:num w:numId="41" w16cid:durableId="946159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4C"/>
    <w:rsid w:val="00000278"/>
    <w:rsid w:val="00003F05"/>
    <w:rsid w:val="000046A5"/>
    <w:rsid w:val="00005700"/>
    <w:rsid w:val="000069BE"/>
    <w:rsid w:val="00022068"/>
    <w:rsid w:val="00023BC8"/>
    <w:rsid w:val="00024246"/>
    <w:rsid w:val="000246F9"/>
    <w:rsid w:val="00024784"/>
    <w:rsid w:val="00032C15"/>
    <w:rsid w:val="00033270"/>
    <w:rsid w:val="000340D9"/>
    <w:rsid w:val="00034D7F"/>
    <w:rsid w:val="00036537"/>
    <w:rsid w:val="00042DC0"/>
    <w:rsid w:val="00043B79"/>
    <w:rsid w:val="00043D28"/>
    <w:rsid w:val="00050800"/>
    <w:rsid w:val="00052B58"/>
    <w:rsid w:val="000547E2"/>
    <w:rsid w:val="000548A0"/>
    <w:rsid w:val="00054FB8"/>
    <w:rsid w:val="00057AE6"/>
    <w:rsid w:val="00062F62"/>
    <w:rsid w:val="0006687B"/>
    <w:rsid w:val="00070C4C"/>
    <w:rsid w:val="0007158A"/>
    <w:rsid w:val="00072E94"/>
    <w:rsid w:val="00076797"/>
    <w:rsid w:val="00081998"/>
    <w:rsid w:val="00084DF5"/>
    <w:rsid w:val="00085D60"/>
    <w:rsid w:val="00087B16"/>
    <w:rsid w:val="00097C2F"/>
    <w:rsid w:val="000A13BC"/>
    <w:rsid w:val="000A436A"/>
    <w:rsid w:val="000A6109"/>
    <w:rsid w:val="000B4AF5"/>
    <w:rsid w:val="000B4D2D"/>
    <w:rsid w:val="000B56C1"/>
    <w:rsid w:val="000B5A00"/>
    <w:rsid w:val="000C338E"/>
    <w:rsid w:val="000C5F96"/>
    <w:rsid w:val="000D10DB"/>
    <w:rsid w:val="000D1416"/>
    <w:rsid w:val="000D18EB"/>
    <w:rsid w:val="000D45DD"/>
    <w:rsid w:val="000D6D22"/>
    <w:rsid w:val="000D6FA6"/>
    <w:rsid w:val="000D7B74"/>
    <w:rsid w:val="000D7E80"/>
    <w:rsid w:val="000E0187"/>
    <w:rsid w:val="000E07CB"/>
    <w:rsid w:val="000E121B"/>
    <w:rsid w:val="000E74F2"/>
    <w:rsid w:val="000F01DF"/>
    <w:rsid w:val="000F46DA"/>
    <w:rsid w:val="000F4C3A"/>
    <w:rsid w:val="000F4E34"/>
    <w:rsid w:val="000F61E3"/>
    <w:rsid w:val="000F6924"/>
    <w:rsid w:val="001035DB"/>
    <w:rsid w:val="00103F6D"/>
    <w:rsid w:val="0010405B"/>
    <w:rsid w:val="001077BE"/>
    <w:rsid w:val="00115489"/>
    <w:rsid w:val="00116784"/>
    <w:rsid w:val="001200B4"/>
    <w:rsid w:val="001226E7"/>
    <w:rsid w:val="00122A6F"/>
    <w:rsid w:val="00122D6D"/>
    <w:rsid w:val="001230C6"/>
    <w:rsid w:val="00132970"/>
    <w:rsid w:val="00137D7E"/>
    <w:rsid w:val="00142854"/>
    <w:rsid w:val="00143769"/>
    <w:rsid w:val="00144530"/>
    <w:rsid w:val="0014636B"/>
    <w:rsid w:val="00146B33"/>
    <w:rsid w:val="0015105B"/>
    <w:rsid w:val="0015120C"/>
    <w:rsid w:val="00151960"/>
    <w:rsid w:val="00162619"/>
    <w:rsid w:val="001649B3"/>
    <w:rsid w:val="00174B5C"/>
    <w:rsid w:val="00174CD8"/>
    <w:rsid w:val="0017500E"/>
    <w:rsid w:val="0017579C"/>
    <w:rsid w:val="00175B16"/>
    <w:rsid w:val="001769E1"/>
    <w:rsid w:val="00181864"/>
    <w:rsid w:val="00190D18"/>
    <w:rsid w:val="00193706"/>
    <w:rsid w:val="00195DC1"/>
    <w:rsid w:val="0019744F"/>
    <w:rsid w:val="00197B9B"/>
    <w:rsid w:val="001A05EB"/>
    <w:rsid w:val="001A0890"/>
    <w:rsid w:val="001A17CE"/>
    <w:rsid w:val="001A27A9"/>
    <w:rsid w:val="001A5701"/>
    <w:rsid w:val="001A7D1A"/>
    <w:rsid w:val="001B31CB"/>
    <w:rsid w:val="001B31DB"/>
    <w:rsid w:val="001B34E9"/>
    <w:rsid w:val="001B37F1"/>
    <w:rsid w:val="001B389A"/>
    <w:rsid w:val="001B4306"/>
    <w:rsid w:val="001B7E92"/>
    <w:rsid w:val="001C5AB9"/>
    <w:rsid w:val="001D0B69"/>
    <w:rsid w:val="001D17F2"/>
    <w:rsid w:val="001D201F"/>
    <w:rsid w:val="001E06F6"/>
    <w:rsid w:val="001E21D8"/>
    <w:rsid w:val="001E3BC5"/>
    <w:rsid w:val="001E60F5"/>
    <w:rsid w:val="001F3A81"/>
    <w:rsid w:val="001F4944"/>
    <w:rsid w:val="001F52CC"/>
    <w:rsid w:val="001F5573"/>
    <w:rsid w:val="00201224"/>
    <w:rsid w:val="002016FE"/>
    <w:rsid w:val="0020215E"/>
    <w:rsid w:val="00203336"/>
    <w:rsid w:val="002057E9"/>
    <w:rsid w:val="0020653E"/>
    <w:rsid w:val="002106D1"/>
    <w:rsid w:val="00213838"/>
    <w:rsid w:val="00213F64"/>
    <w:rsid w:val="002161D1"/>
    <w:rsid w:val="00216AE4"/>
    <w:rsid w:val="0021730D"/>
    <w:rsid w:val="00220B44"/>
    <w:rsid w:val="002246D0"/>
    <w:rsid w:val="00226ACD"/>
    <w:rsid w:val="00226FBE"/>
    <w:rsid w:val="002341A3"/>
    <w:rsid w:val="00235868"/>
    <w:rsid w:val="00235E96"/>
    <w:rsid w:val="002368B1"/>
    <w:rsid w:val="00244B0C"/>
    <w:rsid w:val="00246539"/>
    <w:rsid w:val="002466A2"/>
    <w:rsid w:val="00246C01"/>
    <w:rsid w:val="00250851"/>
    <w:rsid w:val="00254353"/>
    <w:rsid w:val="00254FAC"/>
    <w:rsid w:val="00261160"/>
    <w:rsid w:val="002626E2"/>
    <w:rsid w:val="00263243"/>
    <w:rsid w:val="00263BD5"/>
    <w:rsid w:val="0026487F"/>
    <w:rsid w:val="00264F5D"/>
    <w:rsid w:val="00266E87"/>
    <w:rsid w:val="00270807"/>
    <w:rsid w:val="002728E1"/>
    <w:rsid w:val="00275619"/>
    <w:rsid w:val="00275EA1"/>
    <w:rsid w:val="00277F79"/>
    <w:rsid w:val="0028007D"/>
    <w:rsid w:val="00281289"/>
    <w:rsid w:val="00281A63"/>
    <w:rsid w:val="00283427"/>
    <w:rsid w:val="00286278"/>
    <w:rsid w:val="002A28A2"/>
    <w:rsid w:val="002A6425"/>
    <w:rsid w:val="002B05E3"/>
    <w:rsid w:val="002B39DF"/>
    <w:rsid w:val="002B46AF"/>
    <w:rsid w:val="002C07DE"/>
    <w:rsid w:val="002C5520"/>
    <w:rsid w:val="002C5D50"/>
    <w:rsid w:val="002C66DB"/>
    <w:rsid w:val="002C7AFA"/>
    <w:rsid w:val="002D0AE5"/>
    <w:rsid w:val="002D2285"/>
    <w:rsid w:val="002D25ED"/>
    <w:rsid w:val="002D48C1"/>
    <w:rsid w:val="002D6D09"/>
    <w:rsid w:val="002E2D54"/>
    <w:rsid w:val="002E4BC4"/>
    <w:rsid w:val="002E53DB"/>
    <w:rsid w:val="002F15D2"/>
    <w:rsid w:val="002F2B4F"/>
    <w:rsid w:val="002F3575"/>
    <w:rsid w:val="002F4457"/>
    <w:rsid w:val="002F4A96"/>
    <w:rsid w:val="002F4ED1"/>
    <w:rsid w:val="002F52CF"/>
    <w:rsid w:val="002F567F"/>
    <w:rsid w:val="0030132B"/>
    <w:rsid w:val="00301743"/>
    <w:rsid w:val="003034EA"/>
    <w:rsid w:val="0030449C"/>
    <w:rsid w:val="00304609"/>
    <w:rsid w:val="0030514E"/>
    <w:rsid w:val="003052EC"/>
    <w:rsid w:val="00310691"/>
    <w:rsid w:val="00312918"/>
    <w:rsid w:val="003134A8"/>
    <w:rsid w:val="0031394B"/>
    <w:rsid w:val="00321912"/>
    <w:rsid w:val="00322806"/>
    <w:rsid w:val="00322B2A"/>
    <w:rsid w:val="00323586"/>
    <w:rsid w:val="003237A9"/>
    <w:rsid w:val="003300A8"/>
    <w:rsid w:val="00330277"/>
    <w:rsid w:val="00333094"/>
    <w:rsid w:val="00333E71"/>
    <w:rsid w:val="00335AD1"/>
    <w:rsid w:val="00336719"/>
    <w:rsid w:val="0033786B"/>
    <w:rsid w:val="003460CB"/>
    <w:rsid w:val="00350E5F"/>
    <w:rsid w:val="003521B9"/>
    <w:rsid w:val="00352754"/>
    <w:rsid w:val="003537CD"/>
    <w:rsid w:val="00356646"/>
    <w:rsid w:val="003573E7"/>
    <w:rsid w:val="003604BF"/>
    <w:rsid w:val="0036322F"/>
    <w:rsid w:val="0036434A"/>
    <w:rsid w:val="00365CA4"/>
    <w:rsid w:val="00366B6C"/>
    <w:rsid w:val="00367BE7"/>
    <w:rsid w:val="00367F3C"/>
    <w:rsid w:val="00375988"/>
    <w:rsid w:val="00381257"/>
    <w:rsid w:val="0038267A"/>
    <w:rsid w:val="0038293E"/>
    <w:rsid w:val="00386903"/>
    <w:rsid w:val="00387B3A"/>
    <w:rsid w:val="0039383C"/>
    <w:rsid w:val="00393B08"/>
    <w:rsid w:val="00393E62"/>
    <w:rsid w:val="00394531"/>
    <w:rsid w:val="0039532D"/>
    <w:rsid w:val="003A0235"/>
    <w:rsid w:val="003A4A3A"/>
    <w:rsid w:val="003A541A"/>
    <w:rsid w:val="003B054B"/>
    <w:rsid w:val="003B5601"/>
    <w:rsid w:val="003B596C"/>
    <w:rsid w:val="003C07F1"/>
    <w:rsid w:val="003C1D7A"/>
    <w:rsid w:val="003C345D"/>
    <w:rsid w:val="003C436E"/>
    <w:rsid w:val="003D4346"/>
    <w:rsid w:val="003D6B4A"/>
    <w:rsid w:val="003E21CF"/>
    <w:rsid w:val="003E572B"/>
    <w:rsid w:val="003E58AD"/>
    <w:rsid w:val="003E77B4"/>
    <w:rsid w:val="003F0D8D"/>
    <w:rsid w:val="003F1C37"/>
    <w:rsid w:val="003F2590"/>
    <w:rsid w:val="003F4715"/>
    <w:rsid w:val="003F70C5"/>
    <w:rsid w:val="00401152"/>
    <w:rsid w:val="004031B6"/>
    <w:rsid w:val="00403939"/>
    <w:rsid w:val="00405715"/>
    <w:rsid w:val="004069B2"/>
    <w:rsid w:val="00407D20"/>
    <w:rsid w:val="00407E6F"/>
    <w:rsid w:val="004101B4"/>
    <w:rsid w:val="00411285"/>
    <w:rsid w:val="00411C1B"/>
    <w:rsid w:val="004161EB"/>
    <w:rsid w:val="00416545"/>
    <w:rsid w:val="00416621"/>
    <w:rsid w:val="004205BF"/>
    <w:rsid w:val="00427DD5"/>
    <w:rsid w:val="00430610"/>
    <w:rsid w:val="00430858"/>
    <w:rsid w:val="00432A6D"/>
    <w:rsid w:val="00433A87"/>
    <w:rsid w:val="004362F2"/>
    <w:rsid w:val="0043744D"/>
    <w:rsid w:val="00437AAE"/>
    <w:rsid w:val="00440D14"/>
    <w:rsid w:val="004429AA"/>
    <w:rsid w:val="00444E4F"/>
    <w:rsid w:val="00445CFA"/>
    <w:rsid w:val="00447DDE"/>
    <w:rsid w:val="004506B3"/>
    <w:rsid w:val="00450AB5"/>
    <w:rsid w:val="00451EE5"/>
    <w:rsid w:val="004545E6"/>
    <w:rsid w:val="00456456"/>
    <w:rsid w:val="00460022"/>
    <w:rsid w:val="0046503C"/>
    <w:rsid w:val="00466469"/>
    <w:rsid w:val="00467BFB"/>
    <w:rsid w:val="00471ECE"/>
    <w:rsid w:val="00474959"/>
    <w:rsid w:val="004751BB"/>
    <w:rsid w:val="00477B3F"/>
    <w:rsid w:val="00485DDD"/>
    <w:rsid w:val="0048692B"/>
    <w:rsid w:val="00487763"/>
    <w:rsid w:val="0049047D"/>
    <w:rsid w:val="00491774"/>
    <w:rsid w:val="004937F1"/>
    <w:rsid w:val="004A3E01"/>
    <w:rsid w:val="004A4D0D"/>
    <w:rsid w:val="004A7E92"/>
    <w:rsid w:val="004B3044"/>
    <w:rsid w:val="004B693F"/>
    <w:rsid w:val="004B7874"/>
    <w:rsid w:val="004C2771"/>
    <w:rsid w:val="004C7143"/>
    <w:rsid w:val="004D2D38"/>
    <w:rsid w:val="004E2645"/>
    <w:rsid w:val="004E2EF4"/>
    <w:rsid w:val="004E3356"/>
    <w:rsid w:val="004E4340"/>
    <w:rsid w:val="004F2DFE"/>
    <w:rsid w:val="004F3EF0"/>
    <w:rsid w:val="004F632F"/>
    <w:rsid w:val="004F67A3"/>
    <w:rsid w:val="00503463"/>
    <w:rsid w:val="00503F92"/>
    <w:rsid w:val="00505030"/>
    <w:rsid w:val="00507CBC"/>
    <w:rsid w:val="0051405C"/>
    <w:rsid w:val="005158BC"/>
    <w:rsid w:val="00515B02"/>
    <w:rsid w:val="00516424"/>
    <w:rsid w:val="0052041D"/>
    <w:rsid w:val="00520D19"/>
    <w:rsid w:val="00525099"/>
    <w:rsid w:val="005257A1"/>
    <w:rsid w:val="0052679F"/>
    <w:rsid w:val="0053070A"/>
    <w:rsid w:val="00534CB8"/>
    <w:rsid w:val="00535241"/>
    <w:rsid w:val="0053755A"/>
    <w:rsid w:val="00537681"/>
    <w:rsid w:val="00537F73"/>
    <w:rsid w:val="005460AD"/>
    <w:rsid w:val="005469A7"/>
    <w:rsid w:val="00547886"/>
    <w:rsid w:val="005546FC"/>
    <w:rsid w:val="00555B5C"/>
    <w:rsid w:val="00562361"/>
    <w:rsid w:val="005652E6"/>
    <w:rsid w:val="00575B01"/>
    <w:rsid w:val="005774A7"/>
    <w:rsid w:val="00581542"/>
    <w:rsid w:val="00583542"/>
    <w:rsid w:val="005839ED"/>
    <w:rsid w:val="0058540F"/>
    <w:rsid w:val="005875B8"/>
    <w:rsid w:val="00587799"/>
    <w:rsid w:val="00590716"/>
    <w:rsid w:val="00591E3E"/>
    <w:rsid w:val="0059605B"/>
    <w:rsid w:val="005A05C6"/>
    <w:rsid w:val="005A1F95"/>
    <w:rsid w:val="005A23AF"/>
    <w:rsid w:val="005A26CF"/>
    <w:rsid w:val="005A534A"/>
    <w:rsid w:val="005A63BA"/>
    <w:rsid w:val="005A7253"/>
    <w:rsid w:val="005B37A7"/>
    <w:rsid w:val="005B37C2"/>
    <w:rsid w:val="005B4285"/>
    <w:rsid w:val="005B492C"/>
    <w:rsid w:val="005C046F"/>
    <w:rsid w:val="005C06C6"/>
    <w:rsid w:val="005C0985"/>
    <w:rsid w:val="005C2A51"/>
    <w:rsid w:val="005C495D"/>
    <w:rsid w:val="005C5321"/>
    <w:rsid w:val="005C5983"/>
    <w:rsid w:val="005C7FB4"/>
    <w:rsid w:val="005D1E68"/>
    <w:rsid w:val="005E06E7"/>
    <w:rsid w:val="005E4008"/>
    <w:rsid w:val="005E7324"/>
    <w:rsid w:val="005E7D3D"/>
    <w:rsid w:val="005F0A8F"/>
    <w:rsid w:val="005F1D61"/>
    <w:rsid w:val="005F209A"/>
    <w:rsid w:val="005F21D7"/>
    <w:rsid w:val="005F3964"/>
    <w:rsid w:val="005F4CF7"/>
    <w:rsid w:val="005F56C4"/>
    <w:rsid w:val="005F5918"/>
    <w:rsid w:val="005F626F"/>
    <w:rsid w:val="005F7356"/>
    <w:rsid w:val="0060218B"/>
    <w:rsid w:val="006121BD"/>
    <w:rsid w:val="00612E8B"/>
    <w:rsid w:val="00615499"/>
    <w:rsid w:val="00615A92"/>
    <w:rsid w:val="00620811"/>
    <w:rsid w:val="00620FF8"/>
    <w:rsid w:val="00621C10"/>
    <w:rsid w:val="006228C6"/>
    <w:rsid w:val="00626321"/>
    <w:rsid w:val="00627A3E"/>
    <w:rsid w:val="0063279F"/>
    <w:rsid w:val="006331B6"/>
    <w:rsid w:val="00633D5B"/>
    <w:rsid w:val="00634CF9"/>
    <w:rsid w:val="00635792"/>
    <w:rsid w:val="00643AC0"/>
    <w:rsid w:val="00643BE2"/>
    <w:rsid w:val="006455D1"/>
    <w:rsid w:val="00647911"/>
    <w:rsid w:val="00652E4C"/>
    <w:rsid w:val="006554A5"/>
    <w:rsid w:val="00656D0C"/>
    <w:rsid w:val="0066223E"/>
    <w:rsid w:val="00663D24"/>
    <w:rsid w:val="00665F3F"/>
    <w:rsid w:val="006673D1"/>
    <w:rsid w:val="00667D83"/>
    <w:rsid w:val="006704E5"/>
    <w:rsid w:val="0067304A"/>
    <w:rsid w:val="00676CFD"/>
    <w:rsid w:val="00683376"/>
    <w:rsid w:val="006839A3"/>
    <w:rsid w:val="00685017"/>
    <w:rsid w:val="00693A7D"/>
    <w:rsid w:val="006A1F2B"/>
    <w:rsid w:val="006A4002"/>
    <w:rsid w:val="006A6EED"/>
    <w:rsid w:val="006B0083"/>
    <w:rsid w:val="006B1372"/>
    <w:rsid w:val="006B140D"/>
    <w:rsid w:val="006B1DFA"/>
    <w:rsid w:val="006B28B5"/>
    <w:rsid w:val="006B3EEC"/>
    <w:rsid w:val="006B4580"/>
    <w:rsid w:val="006B5604"/>
    <w:rsid w:val="006B6427"/>
    <w:rsid w:val="006C2A37"/>
    <w:rsid w:val="006C2FBF"/>
    <w:rsid w:val="006C4392"/>
    <w:rsid w:val="006C44AF"/>
    <w:rsid w:val="006C484D"/>
    <w:rsid w:val="006C5B87"/>
    <w:rsid w:val="006D15A1"/>
    <w:rsid w:val="006D17EB"/>
    <w:rsid w:val="006D5081"/>
    <w:rsid w:val="006D5EA0"/>
    <w:rsid w:val="006D62CE"/>
    <w:rsid w:val="006E0A03"/>
    <w:rsid w:val="006E151F"/>
    <w:rsid w:val="006E312B"/>
    <w:rsid w:val="006E341B"/>
    <w:rsid w:val="006E3AE6"/>
    <w:rsid w:val="006E6069"/>
    <w:rsid w:val="006F12EF"/>
    <w:rsid w:val="006F223D"/>
    <w:rsid w:val="006F326B"/>
    <w:rsid w:val="006F4F4A"/>
    <w:rsid w:val="006F55DC"/>
    <w:rsid w:val="006F6E3F"/>
    <w:rsid w:val="00700AE4"/>
    <w:rsid w:val="0070202F"/>
    <w:rsid w:val="0070207C"/>
    <w:rsid w:val="0070289F"/>
    <w:rsid w:val="00702D0D"/>
    <w:rsid w:val="00715725"/>
    <w:rsid w:val="00715C53"/>
    <w:rsid w:val="00716189"/>
    <w:rsid w:val="00717110"/>
    <w:rsid w:val="007204FC"/>
    <w:rsid w:val="00720977"/>
    <w:rsid w:val="00720F54"/>
    <w:rsid w:val="007212A1"/>
    <w:rsid w:val="00723AAC"/>
    <w:rsid w:val="007243DE"/>
    <w:rsid w:val="00726237"/>
    <w:rsid w:val="007267EA"/>
    <w:rsid w:val="00730DAA"/>
    <w:rsid w:val="00733016"/>
    <w:rsid w:val="007366EF"/>
    <w:rsid w:val="00741815"/>
    <w:rsid w:val="0074200B"/>
    <w:rsid w:val="007422F1"/>
    <w:rsid w:val="00744BCF"/>
    <w:rsid w:val="007530C6"/>
    <w:rsid w:val="00756C80"/>
    <w:rsid w:val="00756DF3"/>
    <w:rsid w:val="00757968"/>
    <w:rsid w:val="00757C5C"/>
    <w:rsid w:val="00761B54"/>
    <w:rsid w:val="00765458"/>
    <w:rsid w:val="007666AE"/>
    <w:rsid w:val="007673AD"/>
    <w:rsid w:val="00767F84"/>
    <w:rsid w:val="00772882"/>
    <w:rsid w:val="00772CDC"/>
    <w:rsid w:val="00786F6D"/>
    <w:rsid w:val="00787DE5"/>
    <w:rsid w:val="00790E67"/>
    <w:rsid w:val="007910CC"/>
    <w:rsid w:val="00793268"/>
    <w:rsid w:val="0079343D"/>
    <w:rsid w:val="0079352F"/>
    <w:rsid w:val="00795B6E"/>
    <w:rsid w:val="007A2A0F"/>
    <w:rsid w:val="007A5347"/>
    <w:rsid w:val="007A645C"/>
    <w:rsid w:val="007A671D"/>
    <w:rsid w:val="007B0ADD"/>
    <w:rsid w:val="007B2B71"/>
    <w:rsid w:val="007C12A4"/>
    <w:rsid w:val="007C658C"/>
    <w:rsid w:val="007D1D56"/>
    <w:rsid w:val="007D2381"/>
    <w:rsid w:val="007D2D8E"/>
    <w:rsid w:val="007D41EF"/>
    <w:rsid w:val="007D5791"/>
    <w:rsid w:val="007E3D85"/>
    <w:rsid w:val="007E5067"/>
    <w:rsid w:val="007F0D8E"/>
    <w:rsid w:val="007F26D1"/>
    <w:rsid w:val="007F35D0"/>
    <w:rsid w:val="007F5878"/>
    <w:rsid w:val="007F7A22"/>
    <w:rsid w:val="00800F87"/>
    <w:rsid w:val="00802762"/>
    <w:rsid w:val="0080367B"/>
    <w:rsid w:val="00806E07"/>
    <w:rsid w:val="008077A2"/>
    <w:rsid w:val="00807CAB"/>
    <w:rsid w:val="00810F21"/>
    <w:rsid w:val="00812081"/>
    <w:rsid w:val="00812C3D"/>
    <w:rsid w:val="00814708"/>
    <w:rsid w:val="00814F1A"/>
    <w:rsid w:val="00817235"/>
    <w:rsid w:val="00822439"/>
    <w:rsid w:val="0082307C"/>
    <w:rsid w:val="00823085"/>
    <w:rsid w:val="008247C0"/>
    <w:rsid w:val="00826822"/>
    <w:rsid w:val="00827492"/>
    <w:rsid w:val="00827AE2"/>
    <w:rsid w:val="008310F7"/>
    <w:rsid w:val="00831EC0"/>
    <w:rsid w:val="00834E84"/>
    <w:rsid w:val="0083538E"/>
    <w:rsid w:val="00840CFD"/>
    <w:rsid w:val="008415F2"/>
    <w:rsid w:val="0084745B"/>
    <w:rsid w:val="00851737"/>
    <w:rsid w:val="00862682"/>
    <w:rsid w:val="00864E04"/>
    <w:rsid w:val="00865EFA"/>
    <w:rsid w:val="00866636"/>
    <w:rsid w:val="00870096"/>
    <w:rsid w:val="008702C5"/>
    <w:rsid w:val="008730B0"/>
    <w:rsid w:val="008833B7"/>
    <w:rsid w:val="008862E5"/>
    <w:rsid w:val="0089174A"/>
    <w:rsid w:val="00891C97"/>
    <w:rsid w:val="00892B93"/>
    <w:rsid w:val="00893561"/>
    <w:rsid w:val="0089593E"/>
    <w:rsid w:val="008A1280"/>
    <w:rsid w:val="008A202A"/>
    <w:rsid w:val="008A2C59"/>
    <w:rsid w:val="008A353B"/>
    <w:rsid w:val="008A49AD"/>
    <w:rsid w:val="008A7EEA"/>
    <w:rsid w:val="008B03A0"/>
    <w:rsid w:val="008B3608"/>
    <w:rsid w:val="008B449D"/>
    <w:rsid w:val="008B4F7B"/>
    <w:rsid w:val="008B59DA"/>
    <w:rsid w:val="008C456A"/>
    <w:rsid w:val="008C6091"/>
    <w:rsid w:val="008D1DBA"/>
    <w:rsid w:val="008D3253"/>
    <w:rsid w:val="008D3E78"/>
    <w:rsid w:val="008D6AE3"/>
    <w:rsid w:val="008F5966"/>
    <w:rsid w:val="008F5CD1"/>
    <w:rsid w:val="00904DE6"/>
    <w:rsid w:val="00904EB0"/>
    <w:rsid w:val="00911E34"/>
    <w:rsid w:val="00912430"/>
    <w:rsid w:val="00916560"/>
    <w:rsid w:val="0091726A"/>
    <w:rsid w:val="00920DA8"/>
    <w:rsid w:val="0092173F"/>
    <w:rsid w:val="0093084B"/>
    <w:rsid w:val="00933404"/>
    <w:rsid w:val="0093492B"/>
    <w:rsid w:val="009370F8"/>
    <w:rsid w:val="00941908"/>
    <w:rsid w:val="00942768"/>
    <w:rsid w:val="00942C57"/>
    <w:rsid w:val="009434D3"/>
    <w:rsid w:val="00946B20"/>
    <w:rsid w:val="00946FAA"/>
    <w:rsid w:val="0095054B"/>
    <w:rsid w:val="00951E66"/>
    <w:rsid w:val="00952094"/>
    <w:rsid w:val="00955182"/>
    <w:rsid w:val="00960A65"/>
    <w:rsid w:val="00961A15"/>
    <w:rsid w:val="00965480"/>
    <w:rsid w:val="009701C7"/>
    <w:rsid w:val="0097312E"/>
    <w:rsid w:val="00977A22"/>
    <w:rsid w:val="009843D9"/>
    <w:rsid w:val="00987A1F"/>
    <w:rsid w:val="009948F7"/>
    <w:rsid w:val="00994DD1"/>
    <w:rsid w:val="009955BA"/>
    <w:rsid w:val="009A24D4"/>
    <w:rsid w:val="009A3267"/>
    <w:rsid w:val="009A5F9A"/>
    <w:rsid w:val="009A6E84"/>
    <w:rsid w:val="009A7631"/>
    <w:rsid w:val="009A7F33"/>
    <w:rsid w:val="009B00F6"/>
    <w:rsid w:val="009B2875"/>
    <w:rsid w:val="009B313C"/>
    <w:rsid w:val="009B4443"/>
    <w:rsid w:val="009B5C1E"/>
    <w:rsid w:val="009B7CE0"/>
    <w:rsid w:val="009C0A43"/>
    <w:rsid w:val="009C1CC8"/>
    <w:rsid w:val="009C38CA"/>
    <w:rsid w:val="009C4B1B"/>
    <w:rsid w:val="009D02B8"/>
    <w:rsid w:val="009D1EAC"/>
    <w:rsid w:val="009D5A30"/>
    <w:rsid w:val="009D7029"/>
    <w:rsid w:val="009E2210"/>
    <w:rsid w:val="009E26F9"/>
    <w:rsid w:val="009E412D"/>
    <w:rsid w:val="009E75E8"/>
    <w:rsid w:val="009E78A3"/>
    <w:rsid w:val="009F3385"/>
    <w:rsid w:val="009F3396"/>
    <w:rsid w:val="009F6D22"/>
    <w:rsid w:val="00A0107C"/>
    <w:rsid w:val="00A01775"/>
    <w:rsid w:val="00A03FB0"/>
    <w:rsid w:val="00A05EA2"/>
    <w:rsid w:val="00A10164"/>
    <w:rsid w:val="00A116F7"/>
    <w:rsid w:val="00A129D4"/>
    <w:rsid w:val="00A13549"/>
    <w:rsid w:val="00A13A52"/>
    <w:rsid w:val="00A1481F"/>
    <w:rsid w:val="00A218E2"/>
    <w:rsid w:val="00A222D6"/>
    <w:rsid w:val="00A23523"/>
    <w:rsid w:val="00A24E77"/>
    <w:rsid w:val="00A27462"/>
    <w:rsid w:val="00A32CA9"/>
    <w:rsid w:val="00A33553"/>
    <w:rsid w:val="00A336D3"/>
    <w:rsid w:val="00A37575"/>
    <w:rsid w:val="00A40D8D"/>
    <w:rsid w:val="00A43B58"/>
    <w:rsid w:val="00A45C7F"/>
    <w:rsid w:val="00A46423"/>
    <w:rsid w:val="00A467DE"/>
    <w:rsid w:val="00A4680A"/>
    <w:rsid w:val="00A46F3F"/>
    <w:rsid w:val="00A502FB"/>
    <w:rsid w:val="00A518C1"/>
    <w:rsid w:val="00A51C40"/>
    <w:rsid w:val="00A55EFD"/>
    <w:rsid w:val="00A55FF4"/>
    <w:rsid w:val="00A600F9"/>
    <w:rsid w:val="00A61869"/>
    <w:rsid w:val="00A62410"/>
    <w:rsid w:val="00A666A7"/>
    <w:rsid w:val="00A6718F"/>
    <w:rsid w:val="00A6721F"/>
    <w:rsid w:val="00A733F4"/>
    <w:rsid w:val="00A74947"/>
    <w:rsid w:val="00A74AF2"/>
    <w:rsid w:val="00A74FF6"/>
    <w:rsid w:val="00A77ACB"/>
    <w:rsid w:val="00A805F9"/>
    <w:rsid w:val="00A819FD"/>
    <w:rsid w:val="00A82411"/>
    <w:rsid w:val="00A8460D"/>
    <w:rsid w:val="00A8724D"/>
    <w:rsid w:val="00A962FC"/>
    <w:rsid w:val="00A966FC"/>
    <w:rsid w:val="00AA44B1"/>
    <w:rsid w:val="00AB0A43"/>
    <w:rsid w:val="00AB13B2"/>
    <w:rsid w:val="00AB304D"/>
    <w:rsid w:val="00AB65BE"/>
    <w:rsid w:val="00AB675A"/>
    <w:rsid w:val="00AC0F0B"/>
    <w:rsid w:val="00AC1DFB"/>
    <w:rsid w:val="00AC22EE"/>
    <w:rsid w:val="00AC2A1C"/>
    <w:rsid w:val="00AC2C93"/>
    <w:rsid w:val="00AC313A"/>
    <w:rsid w:val="00AC544F"/>
    <w:rsid w:val="00AC6591"/>
    <w:rsid w:val="00AD07A3"/>
    <w:rsid w:val="00AD47EC"/>
    <w:rsid w:val="00AE3A8C"/>
    <w:rsid w:val="00AE4FFB"/>
    <w:rsid w:val="00AE5672"/>
    <w:rsid w:val="00AF2F22"/>
    <w:rsid w:val="00AF58F4"/>
    <w:rsid w:val="00B013DC"/>
    <w:rsid w:val="00B0321C"/>
    <w:rsid w:val="00B07CFC"/>
    <w:rsid w:val="00B12917"/>
    <w:rsid w:val="00B1335C"/>
    <w:rsid w:val="00B13D8F"/>
    <w:rsid w:val="00B16C49"/>
    <w:rsid w:val="00B219CD"/>
    <w:rsid w:val="00B23F38"/>
    <w:rsid w:val="00B328DE"/>
    <w:rsid w:val="00B37CC2"/>
    <w:rsid w:val="00B408E8"/>
    <w:rsid w:val="00B411D9"/>
    <w:rsid w:val="00B50969"/>
    <w:rsid w:val="00B53ADC"/>
    <w:rsid w:val="00B607E8"/>
    <w:rsid w:val="00B640DF"/>
    <w:rsid w:val="00B66063"/>
    <w:rsid w:val="00B73B44"/>
    <w:rsid w:val="00B747AE"/>
    <w:rsid w:val="00B7744E"/>
    <w:rsid w:val="00B834B8"/>
    <w:rsid w:val="00B863AE"/>
    <w:rsid w:val="00B86C31"/>
    <w:rsid w:val="00B909DF"/>
    <w:rsid w:val="00B916DB"/>
    <w:rsid w:val="00B925BB"/>
    <w:rsid w:val="00BA037B"/>
    <w:rsid w:val="00BA1EF7"/>
    <w:rsid w:val="00BA282C"/>
    <w:rsid w:val="00BA31B5"/>
    <w:rsid w:val="00BA6E9C"/>
    <w:rsid w:val="00BB2C9E"/>
    <w:rsid w:val="00BB33A5"/>
    <w:rsid w:val="00BB37C9"/>
    <w:rsid w:val="00BB55C2"/>
    <w:rsid w:val="00BC1F90"/>
    <w:rsid w:val="00BC357B"/>
    <w:rsid w:val="00BC426C"/>
    <w:rsid w:val="00BD233A"/>
    <w:rsid w:val="00BD4789"/>
    <w:rsid w:val="00BE480B"/>
    <w:rsid w:val="00BF13DC"/>
    <w:rsid w:val="00BF3645"/>
    <w:rsid w:val="00BF3AF7"/>
    <w:rsid w:val="00BF46A2"/>
    <w:rsid w:val="00BF74F6"/>
    <w:rsid w:val="00C001F4"/>
    <w:rsid w:val="00C00D71"/>
    <w:rsid w:val="00C0153F"/>
    <w:rsid w:val="00C01A60"/>
    <w:rsid w:val="00C02710"/>
    <w:rsid w:val="00C028F8"/>
    <w:rsid w:val="00C05D5B"/>
    <w:rsid w:val="00C10370"/>
    <w:rsid w:val="00C12276"/>
    <w:rsid w:val="00C15F86"/>
    <w:rsid w:val="00C21559"/>
    <w:rsid w:val="00C21AE4"/>
    <w:rsid w:val="00C22988"/>
    <w:rsid w:val="00C22999"/>
    <w:rsid w:val="00C23A5E"/>
    <w:rsid w:val="00C2628B"/>
    <w:rsid w:val="00C26E3D"/>
    <w:rsid w:val="00C2741D"/>
    <w:rsid w:val="00C27C6F"/>
    <w:rsid w:val="00C27DF7"/>
    <w:rsid w:val="00C30C85"/>
    <w:rsid w:val="00C311B7"/>
    <w:rsid w:val="00C363AD"/>
    <w:rsid w:val="00C370ED"/>
    <w:rsid w:val="00C4027B"/>
    <w:rsid w:val="00C4153C"/>
    <w:rsid w:val="00C41FCA"/>
    <w:rsid w:val="00C44352"/>
    <w:rsid w:val="00C45A2F"/>
    <w:rsid w:val="00C45A9C"/>
    <w:rsid w:val="00C51B42"/>
    <w:rsid w:val="00C526BC"/>
    <w:rsid w:val="00C53978"/>
    <w:rsid w:val="00C606C8"/>
    <w:rsid w:val="00C639ED"/>
    <w:rsid w:val="00C66D3E"/>
    <w:rsid w:val="00C6799C"/>
    <w:rsid w:val="00C8460C"/>
    <w:rsid w:val="00C84CBF"/>
    <w:rsid w:val="00C868A6"/>
    <w:rsid w:val="00C87B88"/>
    <w:rsid w:val="00C90CF6"/>
    <w:rsid w:val="00C915DA"/>
    <w:rsid w:val="00C92A23"/>
    <w:rsid w:val="00C9414A"/>
    <w:rsid w:val="00C947FE"/>
    <w:rsid w:val="00C97F47"/>
    <w:rsid w:val="00CA2D36"/>
    <w:rsid w:val="00CA60CE"/>
    <w:rsid w:val="00CA7780"/>
    <w:rsid w:val="00CA798E"/>
    <w:rsid w:val="00CB3694"/>
    <w:rsid w:val="00CB3E50"/>
    <w:rsid w:val="00CB3EBD"/>
    <w:rsid w:val="00CB65B4"/>
    <w:rsid w:val="00CB77B9"/>
    <w:rsid w:val="00CC0D0F"/>
    <w:rsid w:val="00CC1F81"/>
    <w:rsid w:val="00CC3CA4"/>
    <w:rsid w:val="00CC5617"/>
    <w:rsid w:val="00CC6648"/>
    <w:rsid w:val="00CC70E4"/>
    <w:rsid w:val="00CD19F4"/>
    <w:rsid w:val="00CD3F41"/>
    <w:rsid w:val="00CE0FDD"/>
    <w:rsid w:val="00CE2163"/>
    <w:rsid w:val="00CE31EF"/>
    <w:rsid w:val="00CE37D6"/>
    <w:rsid w:val="00CE7834"/>
    <w:rsid w:val="00CE7DCD"/>
    <w:rsid w:val="00CE7F8A"/>
    <w:rsid w:val="00CF4251"/>
    <w:rsid w:val="00D008E3"/>
    <w:rsid w:val="00D01308"/>
    <w:rsid w:val="00D01C55"/>
    <w:rsid w:val="00D055CF"/>
    <w:rsid w:val="00D13952"/>
    <w:rsid w:val="00D1439C"/>
    <w:rsid w:val="00D1440B"/>
    <w:rsid w:val="00D14786"/>
    <w:rsid w:val="00D15890"/>
    <w:rsid w:val="00D16B7B"/>
    <w:rsid w:val="00D17114"/>
    <w:rsid w:val="00D17FEF"/>
    <w:rsid w:val="00D210ED"/>
    <w:rsid w:val="00D21E1F"/>
    <w:rsid w:val="00D23655"/>
    <w:rsid w:val="00D23D11"/>
    <w:rsid w:val="00D23DB6"/>
    <w:rsid w:val="00D2449C"/>
    <w:rsid w:val="00D24D7B"/>
    <w:rsid w:val="00D25E47"/>
    <w:rsid w:val="00D316B3"/>
    <w:rsid w:val="00D32229"/>
    <w:rsid w:val="00D343B8"/>
    <w:rsid w:val="00D353A9"/>
    <w:rsid w:val="00D40F91"/>
    <w:rsid w:val="00D44214"/>
    <w:rsid w:val="00D517AD"/>
    <w:rsid w:val="00D5222B"/>
    <w:rsid w:val="00D5686B"/>
    <w:rsid w:val="00D5749C"/>
    <w:rsid w:val="00D6215E"/>
    <w:rsid w:val="00D63790"/>
    <w:rsid w:val="00D65B85"/>
    <w:rsid w:val="00D669DC"/>
    <w:rsid w:val="00D7068E"/>
    <w:rsid w:val="00D707CB"/>
    <w:rsid w:val="00D713CA"/>
    <w:rsid w:val="00D724E7"/>
    <w:rsid w:val="00D737C1"/>
    <w:rsid w:val="00D7605D"/>
    <w:rsid w:val="00D8112E"/>
    <w:rsid w:val="00D85375"/>
    <w:rsid w:val="00D90D22"/>
    <w:rsid w:val="00D90E14"/>
    <w:rsid w:val="00D919DE"/>
    <w:rsid w:val="00D92484"/>
    <w:rsid w:val="00D93A84"/>
    <w:rsid w:val="00DA14B1"/>
    <w:rsid w:val="00DA1548"/>
    <w:rsid w:val="00DA2E1B"/>
    <w:rsid w:val="00DA36E3"/>
    <w:rsid w:val="00DA464C"/>
    <w:rsid w:val="00DA62DA"/>
    <w:rsid w:val="00DB1990"/>
    <w:rsid w:val="00DB347F"/>
    <w:rsid w:val="00DC0066"/>
    <w:rsid w:val="00DC1E73"/>
    <w:rsid w:val="00DC4E76"/>
    <w:rsid w:val="00DC6727"/>
    <w:rsid w:val="00DD226E"/>
    <w:rsid w:val="00DD3CA2"/>
    <w:rsid w:val="00DD44BC"/>
    <w:rsid w:val="00DE351F"/>
    <w:rsid w:val="00DE4924"/>
    <w:rsid w:val="00DE5FF9"/>
    <w:rsid w:val="00DF0326"/>
    <w:rsid w:val="00DF1BC4"/>
    <w:rsid w:val="00DF3F90"/>
    <w:rsid w:val="00DF5782"/>
    <w:rsid w:val="00DF5DDC"/>
    <w:rsid w:val="00DF668D"/>
    <w:rsid w:val="00E030A9"/>
    <w:rsid w:val="00E039A0"/>
    <w:rsid w:val="00E04CE9"/>
    <w:rsid w:val="00E06C03"/>
    <w:rsid w:val="00E120B7"/>
    <w:rsid w:val="00E1385B"/>
    <w:rsid w:val="00E13F4E"/>
    <w:rsid w:val="00E1412A"/>
    <w:rsid w:val="00E14581"/>
    <w:rsid w:val="00E16014"/>
    <w:rsid w:val="00E163B2"/>
    <w:rsid w:val="00E20290"/>
    <w:rsid w:val="00E244ED"/>
    <w:rsid w:val="00E246D6"/>
    <w:rsid w:val="00E304D3"/>
    <w:rsid w:val="00E3183D"/>
    <w:rsid w:val="00E31999"/>
    <w:rsid w:val="00E32493"/>
    <w:rsid w:val="00E3771D"/>
    <w:rsid w:val="00E406D6"/>
    <w:rsid w:val="00E40F0B"/>
    <w:rsid w:val="00E45AD6"/>
    <w:rsid w:val="00E46686"/>
    <w:rsid w:val="00E47A82"/>
    <w:rsid w:val="00E50CE2"/>
    <w:rsid w:val="00E52B4D"/>
    <w:rsid w:val="00E54B89"/>
    <w:rsid w:val="00E56B10"/>
    <w:rsid w:val="00E56C19"/>
    <w:rsid w:val="00E56E19"/>
    <w:rsid w:val="00E575FE"/>
    <w:rsid w:val="00E57E40"/>
    <w:rsid w:val="00E63AA2"/>
    <w:rsid w:val="00E64D20"/>
    <w:rsid w:val="00E64F56"/>
    <w:rsid w:val="00E708FC"/>
    <w:rsid w:val="00E71331"/>
    <w:rsid w:val="00E727E6"/>
    <w:rsid w:val="00E760EF"/>
    <w:rsid w:val="00E770B6"/>
    <w:rsid w:val="00E822B6"/>
    <w:rsid w:val="00E932D8"/>
    <w:rsid w:val="00E93316"/>
    <w:rsid w:val="00E93A25"/>
    <w:rsid w:val="00EA1B96"/>
    <w:rsid w:val="00EA274C"/>
    <w:rsid w:val="00EA4C75"/>
    <w:rsid w:val="00EA7061"/>
    <w:rsid w:val="00EB2289"/>
    <w:rsid w:val="00EB2F67"/>
    <w:rsid w:val="00EB32A0"/>
    <w:rsid w:val="00EB4AAA"/>
    <w:rsid w:val="00EB753D"/>
    <w:rsid w:val="00EC00B3"/>
    <w:rsid w:val="00EC0CD2"/>
    <w:rsid w:val="00EC2711"/>
    <w:rsid w:val="00EC2A9B"/>
    <w:rsid w:val="00EC3561"/>
    <w:rsid w:val="00EC6368"/>
    <w:rsid w:val="00EC7E15"/>
    <w:rsid w:val="00ED0CBE"/>
    <w:rsid w:val="00ED298F"/>
    <w:rsid w:val="00ED3C11"/>
    <w:rsid w:val="00ED7BFA"/>
    <w:rsid w:val="00EE08ED"/>
    <w:rsid w:val="00EE0FAD"/>
    <w:rsid w:val="00EF02AB"/>
    <w:rsid w:val="00EF0460"/>
    <w:rsid w:val="00EF1E20"/>
    <w:rsid w:val="00EF7CAA"/>
    <w:rsid w:val="00EF7E9F"/>
    <w:rsid w:val="00F01341"/>
    <w:rsid w:val="00F067B9"/>
    <w:rsid w:val="00F079D0"/>
    <w:rsid w:val="00F116A4"/>
    <w:rsid w:val="00F15D04"/>
    <w:rsid w:val="00F16979"/>
    <w:rsid w:val="00F27091"/>
    <w:rsid w:val="00F33C0C"/>
    <w:rsid w:val="00F34E47"/>
    <w:rsid w:val="00F3551D"/>
    <w:rsid w:val="00F355EB"/>
    <w:rsid w:val="00F36F78"/>
    <w:rsid w:val="00F37492"/>
    <w:rsid w:val="00F434BF"/>
    <w:rsid w:val="00F43B54"/>
    <w:rsid w:val="00F452BD"/>
    <w:rsid w:val="00F476BF"/>
    <w:rsid w:val="00F47E7D"/>
    <w:rsid w:val="00F52BCA"/>
    <w:rsid w:val="00F55CC5"/>
    <w:rsid w:val="00F57D83"/>
    <w:rsid w:val="00F64DD0"/>
    <w:rsid w:val="00F67645"/>
    <w:rsid w:val="00F702A8"/>
    <w:rsid w:val="00F735B9"/>
    <w:rsid w:val="00F76E07"/>
    <w:rsid w:val="00F77740"/>
    <w:rsid w:val="00F81383"/>
    <w:rsid w:val="00F844B8"/>
    <w:rsid w:val="00F902D0"/>
    <w:rsid w:val="00F921DB"/>
    <w:rsid w:val="00F9584F"/>
    <w:rsid w:val="00FA1E69"/>
    <w:rsid w:val="00FA31C6"/>
    <w:rsid w:val="00FA6FB9"/>
    <w:rsid w:val="00FB0B0E"/>
    <w:rsid w:val="00FB0EB1"/>
    <w:rsid w:val="00FB2A6D"/>
    <w:rsid w:val="00FB4DC1"/>
    <w:rsid w:val="00FB57AD"/>
    <w:rsid w:val="00FB7F06"/>
    <w:rsid w:val="00FC10E7"/>
    <w:rsid w:val="00FC19A0"/>
    <w:rsid w:val="00FC698A"/>
    <w:rsid w:val="00FC71BF"/>
    <w:rsid w:val="00FC7D44"/>
    <w:rsid w:val="00FD0255"/>
    <w:rsid w:val="00FD0480"/>
    <w:rsid w:val="00FD113C"/>
    <w:rsid w:val="00FD4334"/>
    <w:rsid w:val="00FE078C"/>
    <w:rsid w:val="00FE1451"/>
    <w:rsid w:val="00FE29DE"/>
    <w:rsid w:val="00FE4E47"/>
    <w:rsid w:val="00FF1D5B"/>
    <w:rsid w:val="00FF4C8D"/>
    <w:rsid w:val="00FF6231"/>
    <w:rsid w:val="00FF658C"/>
    <w:rsid w:val="00FF6C02"/>
    <w:rsid w:val="01CD5922"/>
    <w:rsid w:val="02CCA684"/>
    <w:rsid w:val="06BBEBE4"/>
    <w:rsid w:val="0CED73E2"/>
    <w:rsid w:val="0DFC7633"/>
    <w:rsid w:val="0DFDFAD3"/>
    <w:rsid w:val="10867A7B"/>
    <w:rsid w:val="11CBA808"/>
    <w:rsid w:val="157811A2"/>
    <w:rsid w:val="160DCDB5"/>
    <w:rsid w:val="17CEA8AC"/>
    <w:rsid w:val="192AE053"/>
    <w:rsid w:val="19E3E253"/>
    <w:rsid w:val="1C4F087F"/>
    <w:rsid w:val="1D1E0082"/>
    <w:rsid w:val="1D6176C2"/>
    <w:rsid w:val="2193593C"/>
    <w:rsid w:val="239BB739"/>
    <w:rsid w:val="292615D8"/>
    <w:rsid w:val="29DC960A"/>
    <w:rsid w:val="2A736DBA"/>
    <w:rsid w:val="307B5B7A"/>
    <w:rsid w:val="3232DBA7"/>
    <w:rsid w:val="34030362"/>
    <w:rsid w:val="36B03906"/>
    <w:rsid w:val="3C9F567D"/>
    <w:rsid w:val="43472EFE"/>
    <w:rsid w:val="46FE6492"/>
    <w:rsid w:val="47DB94BA"/>
    <w:rsid w:val="48A0672C"/>
    <w:rsid w:val="48AFE973"/>
    <w:rsid w:val="48DEE0CB"/>
    <w:rsid w:val="4C12E8A9"/>
    <w:rsid w:val="518FFC79"/>
    <w:rsid w:val="54D6659E"/>
    <w:rsid w:val="598D91AA"/>
    <w:rsid w:val="5BEFDBC3"/>
    <w:rsid w:val="5E5E9139"/>
    <w:rsid w:val="61F00DDC"/>
    <w:rsid w:val="629FA4B2"/>
    <w:rsid w:val="641D392D"/>
    <w:rsid w:val="64278266"/>
    <w:rsid w:val="6447F2B0"/>
    <w:rsid w:val="66077F6D"/>
    <w:rsid w:val="675E1D27"/>
    <w:rsid w:val="6B43697B"/>
    <w:rsid w:val="6E7AF4DC"/>
    <w:rsid w:val="6E7EB11E"/>
    <w:rsid w:val="7007550A"/>
    <w:rsid w:val="7097A1CD"/>
    <w:rsid w:val="7531CDA1"/>
    <w:rsid w:val="7ABF925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76D26"/>
  <w15:docId w15:val="{EF61CFAA-6956-40AC-ABB2-6DD62F1A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64C"/>
    <w:rPr>
      <w:sz w:val="24"/>
      <w:szCs w:val="24"/>
    </w:rPr>
  </w:style>
  <w:style w:type="paragraph" w:styleId="Heading4">
    <w:name w:val="heading 4"/>
    <w:basedOn w:val="Normal"/>
    <w:next w:val="Normal"/>
    <w:link w:val="Heading4Char"/>
    <w:qFormat/>
    <w:rsid w:val="00822439"/>
    <w:pPr>
      <w:keepNext/>
      <w:overflowPunct w:val="0"/>
      <w:autoSpaceDE w:val="0"/>
      <w:autoSpaceDN w:val="0"/>
      <w:adjustRightInd w:val="0"/>
      <w:textAlignment w:val="baseline"/>
      <w:outlineLvl w:val="3"/>
    </w:pPr>
    <w:rPr>
      <w:rFonts w:ascii="Arial" w:hAnsi="Arial" w:cs="Arial"/>
      <w:b/>
      <w:bCs/>
      <w:sz w:val="22"/>
      <w:szCs w:val="22"/>
    </w:rPr>
  </w:style>
  <w:style w:type="paragraph" w:styleId="Heading5">
    <w:name w:val="heading 5"/>
    <w:basedOn w:val="Normal"/>
    <w:next w:val="Normal"/>
    <w:link w:val="Heading5Char"/>
    <w:semiHidden/>
    <w:unhideWhenUsed/>
    <w:qFormat/>
    <w:rsid w:val="00084DF5"/>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A464C"/>
    <w:pPr>
      <w:overflowPunct w:val="0"/>
      <w:autoSpaceDE w:val="0"/>
      <w:autoSpaceDN w:val="0"/>
      <w:adjustRightInd w:val="0"/>
      <w:ind w:left="360"/>
      <w:jc w:val="both"/>
      <w:textAlignment w:val="baseline"/>
    </w:pPr>
    <w:rPr>
      <w:szCs w:val="20"/>
    </w:rPr>
  </w:style>
  <w:style w:type="paragraph" w:styleId="BodyText">
    <w:name w:val="Body Text"/>
    <w:basedOn w:val="Normal"/>
    <w:rsid w:val="00DA464C"/>
    <w:pPr>
      <w:overflowPunct w:val="0"/>
      <w:autoSpaceDE w:val="0"/>
      <w:autoSpaceDN w:val="0"/>
      <w:adjustRightInd w:val="0"/>
      <w:spacing w:after="120"/>
      <w:textAlignment w:val="baseline"/>
    </w:pPr>
    <w:rPr>
      <w:rFonts w:ascii="Arial" w:hAnsi="Arial"/>
      <w:sz w:val="22"/>
      <w:szCs w:val="20"/>
    </w:rPr>
  </w:style>
  <w:style w:type="paragraph" w:styleId="BalloonText">
    <w:name w:val="Balloon Text"/>
    <w:basedOn w:val="Normal"/>
    <w:semiHidden/>
    <w:rsid w:val="00A33553"/>
    <w:rPr>
      <w:rFonts w:ascii="Tahoma" w:hAnsi="Tahoma" w:cs="Tahoma"/>
      <w:sz w:val="16"/>
      <w:szCs w:val="16"/>
    </w:rPr>
  </w:style>
  <w:style w:type="character" w:styleId="CommentReference">
    <w:name w:val="annotation reference"/>
    <w:semiHidden/>
    <w:rsid w:val="00DE351F"/>
    <w:rPr>
      <w:sz w:val="16"/>
      <w:szCs w:val="16"/>
    </w:rPr>
  </w:style>
  <w:style w:type="paragraph" w:styleId="CommentText">
    <w:name w:val="annotation text"/>
    <w:basedOn w:val="Normal"/>
    <w:link w:val="CommentTextChar"/>
    <w:semiHidden/>
    <w:rsid w:val="00DE351F"/>
    <w:rPr>
      <w:sz w:val="20"/>
      <w:szCs w:val="20"/>
    </w:rPr>
  </w:style>
  <w:style w:type="paragraph" w:styleId="CommentSubject">
    <w:name w:val="annotation subject"/>
    <w:basedOn w:val="CommentText"/>
    <w:next w:val="CommentText"/>
    <w:semiHidden/>
    <w:rsid w:val="00DE351F"/>
    <w:rPr>
      <w:b/>
      <w:bCs/>
    </w:rPr>
  </w:style>
  <w:style w:type="paragraph" w:styleId="Header">
    <w:name w:val="header"/>
    <w:basedOn w:val="Normal"/>
    <w:link w:val="HeaderChar"/>
    <w:rsid w:val="00591E3E"/>
    <w:pPr>
      <w:tabs>
        <w:tab w:val="center" w:pos="4320"/>
        <w:tab w:val="right" w:pos="8640"/>
      </w:tabs>
    </w:pPr>
  </w:style>
  <w:style w:type="paragraph" w:styleId="Footer">
    <w:name w:val="footer"/>
    <w:basedOn w:val="Normal"/>
    <w:link w:val="FooterChar"/>
    <w:uiPriority w:val="99"/>
    <w:rsid w:val="00591E3E"/>
    <w:pPr>
      <w:tabs>
        <w:tab w:val="center" w:pos="4320"/>
        <w:tab w:val="right" w:pos="8640"/>
      </w:tabs>
    </w:pPr>
  </w:style>
  <w:style w:type="character" w:customStyle="1" w:styleId="Heading4Char">
    <w:name w:val="Heading 4 Char"/>
    <w:basedOn w:val="DefaultParagraphFont"/>
    <w:link w:val="Heading4"/>
    <w:rsid w:val="00822439"/>
    <w:rPr>
      <w:rFonts w:ascii="Arial" w:hAnsi="Arial" w:cs="Arial"/>
      <w:b/>
      <w:bCs/>
      <w:sz w:val="22"/>
      <w:szCs w:val="22"/>
    </w:rPr>
  </w:style>
  <w:style w:type="character" w:customStyle="1" w:styleId="FooterChar">
    <w:name w:val="Footer Char"/>
    <w:basedOn w:val="DefaultParagraphFont"/>
    <w:link w:val="Footer"/>
    <w:uiPriority w:val="99"/>
    <w:rsid w:val="00822439"/>
    <w:rPr>
      <w:sz w:val="24"/>
      <w:szCs w:val="24"/>
    </w:rPr>
  </w:style>
  <w:style w:type="paragraph" w:styleId="ListParagraph">
    <w:name w:val="List Paragraph"/>
    <w:basedOn w:val="Normal"/>
    <w:uiPriority w:val="34"/>
    <w:qFormat/>
    <w:rsid w:val="00F116A4"/>
    <w:pPr>
      <w:ind w:left="720"/>
      <w:contextualSpacing/>
    </w:pPr>
  </w:style>
  <w:style w:type="character" w:styleId="Hyperlink">
    <w:name w:val="Hyperlink"/>
    <w:basedOn w:val="DefaultParagraphFont"/>
    <w:unhideWhenUsed/>
    <w:rsid w:val="00005700"/>
    <w:rPr>
      <w:color w:val="0563C1" w:themeColor="hyperlink"/>
      <w:u w:val="single"/>
    </w:rPr>
  </w:style>
  <w:style w:type="paragraph" w:styleId="PlainText">
    <w:name w:val="Plain Text"/>
    <w:basedOn w:val="Normal"/>
    <w:link w:val="PlainTextChar"/>
    <w:unhideWhenUsed/>
    <w:rsid w:val="0000570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05700"/>
    <w:rPr>
      <w:rFonts w:ascii="Calibri" w:eastAsiaTheme="minorHAnsi" w:hAnsi="Calibri" w:cstheme="minorBidi"/>
      <w:sz w:val="22"/>
      <w:szCs w:val="21"/>
    </w:rPr>
  </w:style>
  <w:style w:type="paragraph" w:styleId="BodyText3">
    <w:name w:val="Body Text 3"/>
    <w:basedOn w:val="Normal"/>
    <w:link w:val="BodyText3Char"/>
    <w:unhideWhenUsed/>
    <w:rsid w:val="008D3253"/>
    <w:pPr>
      <w:spacing w:after="120"/>
    </w:pPr>
    <w:rPr>
      <w:sz w:val="16"/>
      <w:szCs w:val="16"/>
    </w:rPr>
  </w:style>
  <w:style w:type="character" w:customStyle="1" w:styleId="BodyText3Char">
    <w:name w:val="Body Text 3 Char"/>
    <w:basedOn w:val="DefaultParagraphFont"/>
    <w:link w:val="BodyText3"/>
    <w:rsid w:val="008D3253"/>
    <w:rPr>
      <w:sz w:val="16"/>
      <w:szCs w:val="16"/>
    </w:rPr>
  </w:style>
  <w:style w:type="paragraph" w:styleId="BodyTextIndent3">
    <w:name w:val="Body Text Indent 3"/>
    <w:basedOn w:val="Normal"/>
    <w:link w:val="BodyTextIndent3Char"/>
    <w:unhideWhenUsed/>
    <w:rsid w:val="008833B7"/>
    <w:pPr>
      <w:spacing w:after="120"/>
      <w:ind w:left="360"/>
    </w:pPr>
    <w:rPr>
      <w:sz w:val="16"/>
      <w:szCs w:val="16"/>
    </w:rPr>
  </w:style>
  <w:style w:type="character" w:customStyle="1" w:styleId="BodyTextIndent3Char">
    <w:name w:val="Body Text Indent 3 Char"/>
    <w:basedOn w:val="DefaultParagraphFont"/>
    <w:link w:val="BodyTextIndent3"/>
    <w:rsid w:val="008833B7"/>
    <w:rPr>
      <w:sz w:val="16"/>
      <w:szCs w:val="16"/>
    </w:rPr>
  </w:style>
  <w:style w:type="character" w:styleId="PageNumber">
    <w:name w:val="page number"/>
    <w:basedOn w:val="DefaultParagraphFont"/>
    <w:rsid w:val="008833B7"/>
  </w:style>
  <w:style w:type="paragraph" w:customStyle="1" w:styleId="Default">
    <w:name w:val="Default"/>
    <w:rsid w:val="001A05EB"/>
    <w:pPr>
      <w:autoSpaceDE w:val="0"/>
      <w:autoSpaceDN w:val="0"/>
      <w:adjustRightInd w:val="0"/>
    </w:pPr>
    <w:rPr>
      <w:color w:val="000000"/>
      <w:sz w:val="24"/>
      <w:szCs w:val="24"/>
    </w:rPr>
  </w:style>
  <w:style w:type="character" w:customStyle="1" w:styleId="Heading5Char">
    <w:name w:val="Heading 5 Char"/>
    <w:basedOn w:val="DefaultParagraphFont"/>
    <w:link w:val="Heading5"/>
    <w:semiHidden/>
    <w:rsid w:val="00084DF5"/>
    <w:rPr>
      <w:rFonts w:asciiTheme="majorHAnsi" w:eastAsiaTheme="majorEastAsia" w:hAnsiTheme="majorHAnsi" w:cstheme="majorBidi"/>
      <w:color w:val="1F4D78" w:themeColor="accent1" w:themeShade="7F"/>
      <w:sz w:val="24"/>
      <w:szCs w:val="24"/>
    </w:rPr>
  </w:style>
  <w:style w:type="paragraph" w:customStyle="1" w:styleId="lettersubind">
    <w:name w:val="lettersubind"/>
    <w:basedOn w:val="Normal"/>
    <w:rsid w:val="00CE2163"/>
    <w:pPr>
      <w:numPr>
        <w:numId w:val="16"/>
      </w:numPr>
      <w:tabs>
        <w:tab w:val="clear" w:pos="540"/>
        <w:tab w:val="num" w:pos="1800"/>
      </w:tabs>
      <w:overflowPunct w:val="0"/>
      <w:autoSpaceDE w:val="0"/>
      <w:autoSpaceDN w:val="0"/>
      <w:ind w:left="1800"/>
    </w:pPr>
    <w:rPr>
      <w:rFonts w:eastAsia="Calibri"/>
      <w:b/>
      <w:bCs/>
    </w:rPr>
  </w:style>
  <w:style w:type="paragraph" w:styleId="Revision">
    <w:name w:val="Revision"/>
    <w:hidden/>
    <w:uiPriority w:val="99"/>
    <w:semiHidden/>
    <w:rsid w:val="00E1385B"/>
    <w:rPr>
      <w:sz w:val="24"/>
      <w:szCs w:val="24"/>
    </w:rPr>
  </w:style>
  <w:style w:type="character" w:styleId="FollowedHyperlink">
    <w:name w:val="FollowedHyperlink"/>
    <w:basedOn w:val="DefaultParagraphFont"/>
    <w:semiHidden/>
    <w:unhideWhenUsed/>
    <w:rsid w:val="00DA62DA"/>
    <w:rPr>
      <w:color w:val="954F72" w:themeColor="followedHyperlink"/>
      <w:u w:val="single"/>
    </w:rPr>
  </w:style>
  <w:style w:type="table" w:styleId="TableGrid">
    <w:name w:val="Table Grid"/>
    <w:basedOn w:val="TableNormal"/>
    <w:uiPriority w:val="59"/>
    <w:rsid w:val="0028627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103F6D"/>
  </w:style>
  <w:style w:type="character" w:customStyle="1" w:styleId="HeaderChar">
    <w:name w:val="Header Char"/>
    <w:basedOn w:val="DefaultParagraphFont"/>
    <w:link w:val="Header"/>
    <w:rsid w:val="00103F6D"/>
    <w:rPr>
      <w:sz w:val="24"/>
      <w:szCs w:val="24"/>
    </w:rPr>
  </w:style>
  <w:style w:type="paragraph" w:styleId="NormalWeb">
    <w:name w:val="Normal (Web)"/>
    <w:basedOn w:val="Normal"/>
    <w:uiPriority w:val="99"/>
    <w:semiHidden/>
    <w:unhideWhenUsed/>
    <w:rsid w:val="00E039A0"/>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F452BD"/>
    <w:rPr>
      <w:color w:val="605E5C"/>
      <w:shd w:val="clear" w:color="auto" w:fill="E1DFDD"/>
    </w:rPr>
  </w:style>
  <w:style w:type="paragraph" w:styleId="FootnoteText">
    <w:name w:val="footnote text"/>
    <w:basedOn w:val="Normal"/>
    <w:link w:val="FootnoteTextChar"/>
    <w:semiHidden/>
    <w:unhideWhenUsed/>
    <w:rsid w:val="00D8112E"/>
    <w:rPr>
      <w:sz w:val="20"/>
      <w:szCs w:val="20"/>
    </w:rPr>
  </w:style>
  <w:style w:type="character" w:customStyle="1" w:styleId="FootnoteTextChar">
    <w:name w:val="Footnote Text Char"/>
    <w:basedOn w:val="DefaultParagraphFont"/>
    <w:link w:val="FootnoteText"/>
    <w:semiHidden/>
    <w:rsid w:val="00D8112E"/>
  </w:style>
  <w:style w:type="character" w:styleId="FootnoteReference">
    <w:name w:val="footnote reference"/>
    <w:basedOn w:val="DefaultParagraphFont"/>
    <w:semiHidden/>
    <w:unhideWhenUsed/>
    <w:rsid w:val="00D81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745">
      <w:bodyDiv w:val="1"/>
      <w:marLeft w:val="0"/>
      <w:marRight w:val="0"/>
      <w:marTop w:val="0"/>
      <w:marBottom w:val="0"/>
      <w:divBdr>
        <w:top w:val="none" w:sz="0" w:space="0" w:color="auto"/>
        <w:left w:val="none" w:sz="0" w:space="0" w:color="auto"/>
        <w:bottom w:val="none" w:sz="0" w:space="0" w:color="auto"/>
        <w:right w:val="none" w:sz="0" w:space="0" w:color="auto"/>
      </w:divBdr>
    </w:div>
    <w:div w:id="126749563">
      <w:bodyDiv w:val="1"/>
      <w:marLeft w:val="0"/>
      <w:marRight w:val="0"/>
      <w:marTop w:val="0"/>
      <w:marBottom w:val="0"/>
      <w:divBdr>
        <w:top w:val="none" w:sz="0" w:space="0" w:color="auto"/>
        <w:left w:val="none" w:sz="0" w:space="0" w:color="auto"/>
        <w:bottom w:val="none" w:sz="0" w:space="0" w:color="auto"/>
        <w:right w:val="none" w:sz="0" w:space="0" w:color="auto"/>
      </w:divBdr>
    </w:div>
    <w:div w:id="194538153">
      <w:bodyDiv w:val="1"/>
      <w:marLeft w:val="0"/>
      <w:marRight w:val="0"/>
      <w:marTop w:val="0"/>
      <w:marBottom w:val="0"/>
      <w:divBdr>
        <w:top w:val="none" w:sz="0" w:space="0" w:color="auto"/>
        <w:left w:val="none" w:sz="0" w:space="0" w:color="auto"/>
        <w:bottom w:val="none" w:sz="0" w:space="0" w:color="auto"/>
        <w:right w:val="none" w:sz="0" w:space="0" w:color="auto"/>
      </w:divBdr>
    </w:div>
    <w:div w:id="550189310">
      <w:bodyDiv w:val="1"/>
      <w:marLeft w:val="0"/>
      <w:marRight w:val="0"/>
      <w:marTop w:val="0"/>
      <w:marBottom w:val="0"/>
      <w:divBdr>
        <w:top w:val="none" w:sz="0" w:space="0" w:color="auto"/>
        <w:left w:val="none" w:sz="0" w:space="0" w:color="auto"/>
        <w:bottom w:val="none" w:sz="0" w:space="0" w:color="auto"/>
        <w:right w:val="none" w:sz="0" w:space="0" w:color="auto"/>
      </w:divBdr>
    </w:div>
    <w:div w:id="1799251431">
      <w:bodyDiv w:val="1"/>
      <w:marLeft w:val="0"/>
      <w:marRight w:val="0"/>
      <w:marTop w:val="0"/>
      <w:marBottom w:val="0"/>
      <w:divBdr>
        <w:top w:val="none" w:sz="0" w:space="0" w:color="auto"/>
        <w:left w:val="none" w:sz="0" w:space="0" w:color="auto"/>
        <w:bottom w:val="none" w:sz="0" w:space="0" w:color="auto"/>
        <w:right w:val="none" w:sz="0" w:space="0" w:color="auto"/>
      </w:divBdr>
      <w:divsChild>
        <w:div w:id="1077634832">
          <w:marLeft w:val="446"/>
          <w:marRight w:val="0"/>
          <w:marTop w:val="0"/>
          <w:marBottom w:val="0"/>
          <w:divBdr>
            <w:top w:val="none" w:sz="0" w:space="0" w:color="auto"/>
            <w:left w:val="none" w:sz="0" w:space="0" w:color="auto"/>
            <w:bottom w:val="none" w:sz="0" w:space="0" w:color="auto"/>
            <w:right w:val="none" w:sz="0" w:space="0" w:color="auto"/>
          </w:divBdr>
        </w:div>
      </w:divsChild>
    </w:div>
    <w:div w:id="1879009960">
      <w:bodyDiv w:val="1"/>
      <w:marLeft w:val="0"/>
      <w:marRight w:val="0"/>
      <w:marTop w:val="0"/>
      <w:marBottom w:val="0"/>
      <w:divBdr>
        <w:top w:val="none" w:sz="0" w:space="0" w:color="auto"/>
        <w:left w:val="none" w:sz="0" w:space="0" w:color="auto"/>
        <w:bottom w:val="none" w:sz="0" w:space="0" w:color="auto"/>
        <w:right w:val="none" w:sz="0" w:space="0" w:color="auto"/>
      </w:divBdr>
    </w:div>
    <w:div w:id="1912277798">
      <w:bodyDiv w:val="1"/>
      <w:marLeft w:val="0"/>
      <w:marRight w:val="0"/>
      <w:marTop w:val="0"/>
      <w:marBottom w:val="0"/>
      <w:divBdr>
        <w:top w:val="none" w:sz="0" w:space="0" w:color="auto"/>
        <w:left w:val="none" w:sz="0" w:space="0" w:color="auto"/>
        <w:bottom w:val="none" w:sz="0" w:space="0" w:color="auto"/>
        <w:right w:val="none" w:sz="0" w:space="0" w:color="auto"/>
      </w:divBdr>
    </w:div>
    <w:div w:id="1951038639">
      <w:bodyDiv w:val="1"/>
      <w:marLeft w:val="0"/>
      <w:marRight w:val="0"/>
      <w:marTop w:val="0"/>
      <w:marBottom w:val="0"/>
      <w:divBdr>
        <w:top w:val="none" w:sz="0" w:space="0" w:color="auto"/>
        <w:left w:val="none" w:sz="0" w:space="0" w:color="auto"/>
        <w:bottom w:val="none" w:sz="0" w:space="0" w:color="auto"/>
        <w:right w:val="none" w:sz="0" w:space="0" w:color="auto"/>
      </w:divBdr>
    </w:div>
    <w:div w:id="2138527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nyc.gov/site/hpd/services-and-information/tax-credits-and-incentives.page" TargetMode="External"/><Relationship Id="rId13" Type="http://schemas.openxmlformats.org/officeDocument/2006/relationships/hyperlink" Target="https://esd.ny.gov/opportunity-zones" TargetMode="External"/><Relationship Id="rId18" Type="http://schemas.openxmlformats.org/officeDocument/2006/relationships/hyperlink" Target="http://www.nyc.gov/floodhazardmapper" TargetMode="External"/><Relationship Id="rId26" Type="http://schemas.openxmlformats.org/officeDocument/2006/relationships/hyperlink" Target="https://www1.nyc.gov/site/hpd/services-and-information/blds.page" TargetMode="External"/><Relationship Id="rId3" Type="http://schemas.openxmlformats.org/officeDocument/2006/relationships/styles" Target="styles.xml"/><Relationship Id="rId21" Type="http://schemas.openxmlformats.org/officeDocument/2006/relationships/hyperlink" Target="https://www1.nyc.gov/site/hpd/services-and-information/enhanced-contractor-review.pag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1.nyc.gov/site/hpd/services-and-information/housing-retention-stabilization-services-pql.page" TargetMode="External"/><Relationship Id="rId17" Type="http://schemas.openxmlformats.org/officeDocument/2006/relationships/hyperlink" Target="https://www1.nyc.gov/site/hpd/services-and-information/benchmarking-protocol.page" TargetMode="External"/><Relationship Id="rId25" Type="http://schemas.openxmlformats.org/officeDocument/2006/relationships/hyperlink" Target="https://www1.nyc.gov/site/hpd/services-and-information/environmental-review.pag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eencommunitiesonline.org/" TargetMode="External"/><Relationship Id="rId20" Type="http://schemas.openxmlformats.org/officeDocument/2006/relationships/hyperlink" Target="https://www1.nyc.gov/site/hpd/services-and-information/integrity-review.pag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hpd/services-and-information/area-median-income.page" TargetMode="External"/><Relationship Id="rId24" Type="http://schemas.openxmlformats.org/officeDocument/2006/relationships/hyperlink" Target="https://www1.nyc.gov/site/hpd/services-and-information/campaign-finance-requirements.pag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1.nyc.gov/assets/hpd/downloads/pdfs/services/laying-the-groundwork-retail-design-guidelines.pdf" TargetMode="External"/><Relationship Id="rId23" Type="http://schemas.openxmlformats.org/officeDocument/2006/relationships/hyperlink" Target="https://www1.nyc.gov/site/hpd/services-and-information/hud-section-3.page" TargetMode="External"/><Relationship Id="rId28" Type="http://schemas.openxmlformats.org/officeDocument/2006/relationships/hyperlink" Target="https://www1.nyc.gov/site/hpd/services-and-information/m-wbe-build-up-program.page" TargetMode="External"/><Relationship Id="rId10" Type="http://schemas.openxmlformats.org/officeDocument/2006/relationships/hyperlink" Target="https://www1.nyc.gov/site/hpd/services-and-information/marketing.page" TargetMode="External"/><Relationship Id="rId19" Type="http://schemas.openxmlformats.org/officeDocument/2006/relationships/hyperlink" Target="https://www1.nyc.gov/site/hpd/services-and-information/integrity-review.pag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1.nyc.gov/site/hpd/services-and-information/marketing.page" TargetMode="External"/><Relationship Id="rId14" Type="http://schemas.openxmlformats.org/officeDocument/2006/relationships/hyperlink" Target="https://www.nyc.gov/site/hpd/services-and-information/new-construction-design.page" TargetMode="External"/><Relationship Id="rId22" Type="http://schemas.openxmlformats.org/officeDocument/2006/relationships/hyperlink" Target="https://www1.nyc.gov/site/hpd/developers/compliance-section3.page" TargetMode="External"/><Relationship Id="rId27" Type="http://schemas.openxmlformats.org/officeDocument/2006/relationships/hyperlink" Target="https://www1.nyc.gov/site/hpd/services-and-information/hirenyc.page"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B566-B78E-4103-8890-80BF8B03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3280</Words>
  <Characters>18696</Characters>
  <Application>Microsoft Office Word</Application>
  <DocSecurity>0</DocSecurity>
  <Lines>155</Lines>
  <Paragraphs>43</Paragraphs>
  <ScaleCrop>false</ScaleCrop>
  <Company>nyc hpd</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HPD Special Needs Housing Term Sheet</dc:title>
  <dc:subject/>
  <dc:creator>NYC</dc:creator>
  <cp:keywords/>
  <cp:lastModifiedBy>Alexander Rawding</cp:lastModifiedBy>
  <cp:revision>20</cp:revision>
  <cp:lastPrinted>2020-03-03T07:23:00Z</cp:lastPrinted>
  <dcterms:created xsi:type="dcterms:W3CDTF">2023-04-27T16:44:00Z</dcterms:created>
  <dcterms:modified xsi:type="dcterms:W3CDTF">2023-12-12T20:17:00Z</dcterms:modified>
</cp:coreProperties>
</file>