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A35C65B" w14:textId="173B3A47" w:rsidR="00C47ADA" w:rsidRPr="00492095" w:rsidRDefault="00190FCA" w:rsidP="00B54EE0">
      <w:pPr>
        <w:spacing w:after="120"/>
        <w:rPr>
          <w:rFonts w:ascii="Trebuchet MS" w:hAnsi="Trebuchet MS" w:cs="Arial"/>
          <w:b/>
          <w:u w:val="single"/>
        </w:rPr>
      </w:pPr>
      <w:r w:rsidRPr="00492095">
        <w:rPr>
          <w:rFonts w:ascii="Trebuchet MS" w:eastAsia="Cambria" w:hAnsi="Trebuchet MS"/>
          <w:noProof/>
        </w:rPr>
        <mc:AlternateContent>
          <mc:Choice Requires="wps">
            <w:drawing>
              <wp:anchor distT="0" distB="0" distL="114300" distR="114300" simplePos="0" relativeHeight="251684864" behindDoc="0" locked="0" layoutInCell="1" allowOverlap="1" wp14:anchorId="37271A19" wp14:editId="4A8FCAE8">
                <wp:simplePos x="0" y="0"/>
                <wp:positionH relativeFrom="column">
                  <wp:posOffset>-914400</wp:posOffset>
                </wp:positionH>
                <wp:positionV relativeFrom="paragraph">
                  <wp:posOffset>-914400</wp:posOffset>
                </wp:positionV>
                <wp:extent cx="7772400" cy="571500"/>
                <wp:effectExtent l="0" t="0" r="0" b="12700"/>
                <wp:wrapThrough wrapText="bothSides">
                  <wp:wrapPolygon edited="0">
                    <wp:start x="0" y="0"/>
                    <wp:lineTo x="0" y="21120"/>
                    <wp:lineTo x="21529" y="21120"/>
                    <wp:lineTo x="21529"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7772400" cy="571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5" o:spid="_x0000_s1026" style="position:absolute;margin-left:-71.95pt;margin-top:-71.95pt;width:612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" fillcolor="#4f81bd [3204]" stroked="f" strokeweight="2pt">
                <w10:wrap type="through"/>
              </v:rect>
            </w:pict>
          </mc:Fallback>
        </mc:AlternateContent>
      </w:r>
    </w:p>
    <w:p w14:paraId="5C077563" w14:textId="77777777" w:rsidR="00C47ADA" w:rsidRPr="00492095" w:rsidRDefault="00C47ADA" w:rsidP="00492095">
      <w:pPr>
        <w:pStyle w:val="Footer"/>
      </w:pPr>
    </w:p>
    <w:p w14:paraId="252F391F" w14:textId="77777777" w:rsidR="00C47ADA" w:rsidRPr="00492095" w:rsidRDefault="00C47ADA" w:rsidP="00B54EE0">
      <w:pPr>
        <w:spacing w:after="120"/>
        <w:rPr>
          <w:rFonts w:ascii="Trebuchet MS" w:hAnsi="Trebuchet MS" w:cs="Arial"/>
          <w:b/>
          <w:u w:val="single"/>
        </w:rPr>
      </w:pPr>
    </w:p>
    <w:p w14:paraId="1FAF3228" w14:textId="77777777" w:rsidR="00C47ADA" w:rsidRPr="00492095" w:rsidRDefault="00C47ADA" w:rsidP="00B54EE0">
      <w:pPr>
        <w:spacing w:after="120"/>
        <w:rPr>
          <w:rFonts w:ascii="Trebuchet MS" w:hAnsi="Trebuchet MS" w:cs="Arial"/>
          <w:b/>
          <w:u w:val="single"/>
        </w:rPr>
      </w:pPr>
    </w:p>
    <w:p w14:paraId="1F23DE7B" w14:textId="77777777" w:rsidR="00C47ADA" w:rsidRPr="00492095" w:rsidRDefault="00C47ADA" w:rsidP="00B54EE0">
      <w:pPr>
        <w:spacing w:after="120"/>
        <w:rPr>
          <w:rFonts w:ascii="Trebuchet MS" w:hAnsi="Trebuchet MS" w:cs="Arial"/>
          <w:b/>
          <w:u w:val="single"/>
        </w:rPr>
      </w:pPr>
    </w:p>
    <w:p w14:paraId="3E1AE622" w14:textId="77777777" w:rsidR="00C47ADA" w:rsidRPr="00492095" w:rsidRDefault="00C47ADA" w:rsidP="00B54EE0">
      <w:pPr>
        <w:spacing w:after="120"/>
        <w:rPr>
          <w:rFonts w:ascii="Trebuchet MS" w:hAnsi="Trebuchet MS" w:cs="Arial"/>
          <w:b/>
          <w:u w:val="single"/>
        </w:rPr>
      </w:pPr>
    </w:p>
    <w:p w14:paraId="28FB6AD6" w14:textId="77777777" w:rsidR="00C47ADA" w:rsidRPr="00492095" w:rsidRDefault="00C47ADA" w:rsidP="00B54EE0">
      <w:pPr>
        <w:spacing w:after="120"/>
        <w:rPr>
          <w:rFonts w:ascii="Trebuchet MS" w:hAnsi="Trebuchet MS" w:cs="Arial"/>
          <w:b/>
          <w:u w:val="single"/>
        </w:rPr>
      </w:pPr>
    </w:p>
    <w:p w14:paraId="503E6E54" w14:textId="77777777" w:rsidR="00C47ADA" w:rsidRPr="00492095" w:rsidRDefault="00C47ADA" w:rsidP="00B54EE0">
      <w:pPr>
        <w:spacing w:after="120"/>
        <w:rPr>
          <w:rFonts w:ascii="Trebuchet MS" w:hAnsi="Trebuchet MS" w:cs="Arial"/>
          <w:b/>
          <w:u w:val="single"/>
        </w:rPr>
      </w:pPr>
    </w:p>
    <w:p w14:paraId="061B7D83" w14:textId="77777777" w:rsidR="00C47ADA" w:rsidRPr="00492095" w:rsidRDefault="00C47ADA" w:rsidP="00B54EE0">
      <w:pPr>
        <w:spacing w:after="120"/>
        <w:rPr>
          <w:rFonts w:ascii="Trebuchet MS" w:hAnsi="Trebuchet MS" w:cs="Arial"/>
          <w:b/>
          <w:u w:val="single"/>
        </w:rPr>
      </w:pPr>
    </w:p>
    <w:p w14:paraId="67AABAC4" w14:textId="77777777" w:rsidR="00C47ADA" w:rsidRPr="00492095" w:rsidRDefault="00C47ADA" w:rsidP="00B54EE0">
      <w:pPr>
        <w:spacing w:after="120"/>
        <w:rPr>
          <w:rFonts w:ascii="Trebuchet MS" w:hAnsi="Trebuchet MS" w:cs="Arial"/>
          <w:b/>
          <w:u w:val="single"/>
        </w:rPr>
      </w:pPr>
    </w:p>
    <w:p w14:paraId="122C7B77" w14:textId="27AEDA9A" w:rsidR="00B54EE0" w:rsidRPr="00492095" w:rsidRDefault="00B174AC" w:rsidP="009A0924">
      <w:pPr>
        <w:pBdr>
          <w:bottom w:val="single" w:sz="4" w:space="1" w:color="auto"/>
        </w:pBdr>
        <w:spacing w:after="120"/>
        <w:ind w:left="-360" w:right="-450"/>
        <w:jc w:val="center"/>
        <w:rPr>
          <w:rFonts w:ascii="Trebuchet MS" w:hAnsi="Trebuchet MS" w:cs="Arial"/>
          <w:sz w:val="40"/>
          <w:szCs w:val="36"/>
        </w:rPr>
      </w:pPr>
      <w:r>
        <w:rPr>
          <w:rFonts w:ascii="Trebuchet MS" w:hAnsi="Trebuchet MS" w:cs="Arial"/>
          <w:b/>
          <w:sz w:val="40"/>
          <w:szCs w:val="36"/>
        </w:rPr>
        <w:t>LIFE-CYCLE COST ANALYSIS</w:t>
      </w:r>
      <w:r w:rsidR="000B6647">
        <w:rPr>
          <w:rFonts w:ascii="Trebuchet MS" w:hAnsi="Trebuchet MS" w:cs="Arial"/>
          <w:b/>
          <w:sz w:val="40"/>
          <w:szCs w:val="36"/>
        </w:rPr>
        <w:t xml:space="preserve"> AND </w:t>
      </w:r>
      <w:r w:rsidR="00B54EE0" w:rsidRPr="00492095">
        <w:rPr>
          <w:rFonts w:ascii="Trebuchet MS" w:hAnsi="Trebuchet MS" w:cs="Arial"/>
          <w:b/>
          <w:sz w:val="40"/>
          <w:szCs w:val="36"/>
        </w:rPr>
        <w:t>GREEN INFRASTRUCTURE</w:t>
      </w:r>
      <w:r w:rsidR="000B6647">
        <w:rPr>
          <w:rFonts w:ascii="Trebuchet MS" w:hAnsi="Trebuchet MS" w:cs="Arial"/>
          <w:b/>
          <w:sz w:val="40"/>
          <w:szCs w:val="36"/>
        </w:rPr>
        <w:t xml:space="preserve"> IN NEW YORK CITY</w:t>
      </w:r>
    </w:p>
    <w:p w14:paraId="58E98B42" w14:textId="21D35F5C" w:rsidR="009A0924" w:rsidRPr="00492095" w:rsidRDefault="000B6647" w:rsidP="009A0924">
      <w:pPr>
        <w:jc w:val="center"/>
        <w:rPr>
          <w:rFonts w:ascii="Trebuchet MS" w:hAnsi="Trebuchet MS" w:cs="Arial"/>
          <w:sz w:val="36"/>
          <w:szCs w:val="36"/>
        </w:rPr>
      </w:pPr>
      <w:proofErr w:type="gramStart"/>
      <w:r>
        <w:rPr>
          <w:rFonts w:ascii="Trebuchet MS" w:hAnsi="Trebuchet MS" w:cs="Arial"/>
          <w:sz w:val="36"/>
          <w:szCs w:val="36"/>
        </w:rPr>
        <w:t>a</w:t>
      </w:r>
      <w:proofErr w:type="gramEnd"/>
      <w:r>
        <w:rPr>
          <w:rFonts w:ascii="Trebuchet MS" w:hAnsi="Trebuchet MS" w:cs="Arial"/>
          <w:sz w:val="36"/>
          <w:szCs w:val="36"/>
        </w:rPr>
        <w:t xml:space="preserve"> </w:t>
      </w:r>
      <w:r w:rsidR="009A0924" w:rsidRPr="00492095">
        <w:rPr>
          <w:rFonts w:ascii="Trebuchet MS" w:hAnsi="Trebuchet MS" w:cs="Arial"/>
          <w:sz w:val="36"/>
          <w:szCs w:val="36"/>
        </w:rPr>
        <w:t>NYC Town + Gown</w:t>
      </w:r>
      <w:r>
        <w:rPr>
          <w:rFonts w:ascii="Trebuchet MS" w:hAnsi="Trebuchet MS" w:cs="Arial"/>
          <w:sz w:val="36"/>
          <w:szCs w:val="36"/>
        </w:rPr>
        <w:t xml:space="preserve"> project</w:t>
      </w:r>
    </w:p>
    <w:p w14:paraId="190A862E" w14:textId="77777777" w:rsidR="00154ADA" w:rsidRDefault="00154ADA" w:rsidP="009A0924">
      <w:pPr>
        <w:jc w:val="center"/>
        <w:rPr>
          <w:rFonts w:ascii="Trebuchet MS" w:hAnsi="Trebuchet MS" w:cs="Arial"/>
          <w:sz w:val="22"/>
          <w:szCs w:val="22"/>
        </w:rPr>
      </w:pPr>
    </w:p>
    <w:p w14:paraId="728BBBBA" w14:textId="4D6DD411" w:rsidR="00F762D2" w:rsidRPr="00492095" w:rsidRDefault="009A0924" w:rsidP="009A0924">
      <w:pPr>
        <w:jc w:val="center"/>
        <w:rPr>
          <w:rFonts w:ascii="Trebuchet MS" w:hAnsi="Trebuchet MS" w:cs="Arial"/>
          <w:sz w:val="22"/>
          <w:szCs w:val="22"/>
        </w:rPr>
      </w:pPr>
      <w:r w:rsidRPr="00492095">
        <w:rPr>
          <w:rFonts w:ascii="Trebuchet MS" w:hAnsi="Trebuchet MS" w:cs="Arial"/>
          <w:sz w:val="22"/>
          <w:szCs w:val="22"/>
        </w:rPr>
        <w:t xml:space="preserve">Research - Christopher Eshleman, </w:t>
      </w:r>
      <w:r w:rsidR="00F762D2" w:rsidRPr="00492095">
        <w:rPr>
          <w:rFonts w:ascii="Trebuchet MS" w:hAnsi="Trebuchet MS" w:cs="Arial"/>
          <w:sz w:val="22"/>
          <w:szCs w:val="22"/>
        </w:rPr>
        <w:t>Columbia Univers</w:t>
      </w:r>
      <w:r w:rsidRPr="00492095">
        <w:rPr>
          <w:rFonts w:ascii="Trebuchet MS" w:hAnsi="Trebuchet MS" w:cs="Arial"/>
          <w:sz w:val="22"/>
          <w:szCs w:val="22"/>
        </w:rPr>
        <w:t>ity, School of International &amp;</w:t>
      </w:r>
      <w:r w:rsidR="00F762D2" w:rsidRPr="00492095">
        <w:rPr>
          <w:rFonts w:ascii="Trebuchet MS" w:hAnsi="Trebuchet MS" w:cs="Arial"/>
          <w:sz w:val="22"/>
          <w:szCs w:val="22"/>
        </w:rPr>
        <w:t xml:space="preserve"> Public Affairs</w:t>
      </w:r>
    </w:p>
    <w:p w14:paraId="41563965" w14:textId="0502B07F" w:rsidR="009A0924" w:rsidRPr="00492095" w:rsidRDefault="009A0924" w:rsidP="009A0924">
      <w:pPr>
        <w:jc w:val="center"/>
        <w:rPr>
          <w:rFonts w:ascii="Trebuchet MS" w:hAnsi="Trebuchet MS" w:cs="Arial"/>
          <w:sz w:val="22"/>
          <w:szCs w:val="22"/>
        </w:rPr>
      </w:pPr>
      <w:r w:rsidRPr="00492095">
        <w:rPr>
          <w:rFonts w:ascii="Trebuchet MS" w:hAnsi="Trebuchet MS" w:cs="Arial"/>
          <w:sz w:val="22"/>
          <w:szCs w:val="22"/>
        </w:rPr>
        <w:t>Advisor – Professor Eva Weissman</w:t>
      </w:r>
    </w:p>
    <w:p w14:paraId="6498E0FE" w14:textId="7A051E95" w:rsidR="00B54EE0" w:rsidRPr="00492095" w:rsidRDefault="00603D0C" w:rsidP="009A0924">
      <w:pPr>
        <w:spacing w:after="120"/>
        <w:jc w:val="center"/>
        <w:rPr>
          <w:rFonts w:ascii="Trebuchet MS" w:hAnsi="Trebuchet MS" w:cs="Arial"/>
          <w:sz w:val="22"/>
          <w:szCs w:val="22"/>
        </w:rPr>
      </w:pPr>
      <w:r>
        <w:rPr>
          <w:rFonts w:ascii="Trebuchet MS" w:hAnsi="Trebuchet MS" w:cs="Arial"/>
          <w:sz w:val="22"/>
          <w:szCs w:val="22"/>
        </w:rPr>
        <w:t>7.6</w:t>
      </w:r>
      <w:r w:rsidR="00B54EE0" w:rsidRPr="00492095">
        <w:rPr>
          <w:rFonts w:ascii="Trebuchet MS" w:hAnsi="Trebuchet MS" w:cs="Arial"/>
          <w:sz w:val="22"/>
          <w:szCs w:val="22"/>
        </w:rPr>
        <w:t>.2014</w:t>
      </w:r>
    </w:p>
    <w:p w14:paraId="57FC4AB6" w14:textId="6908DA38" w:rsidR="00B54EE0" w:rsidRPr="00492095" w:rsidRDefault="00B54EE0" w:rsidP="00B54EE0">
      <w:pPr>
        <w:spacing w:after="120"/>
        <w:rPr>
          <w:rFonts w:ascii="Trebuchet MS" w:hAnsi="Trebuchet MS" w:cs="Arial"/>
        </w:rPr>
      </w:pPr>
    </w:p>
    <w:p w14:paraId="04CB0B2D" w14:textId="77777777" w:rsidR="00B54EE0" w:rsidRPr="00492095" w:rsidRDefault="00B54EE0" w:rsidP="00B54EE0">
      <w:pPr>
        <w:pStyle w:val="Normal1"/>
        <w:rPr>
          <w:rFonts w:ascii="Trebuchet MS" w:hAnsi="Trebuchet MS"/>
          <w:sz w:val="24"/>
        </w:rPr>
      </w:pPr>
    </w:p>
    <w:p w14:paraId="7C7875C4" w14:textId="05246A38" w:rsidR="00B54EE0" w:rsidRPr="00492095" w:rsidRDefault="00B54EE0" w:rsidP="00B54EE0">
      <w:pPr>
        <w:pStyle w:val="Normal1"/>
        <w:spacing w:after="120" w:line="240" w:lineRule="auto"/>
        <w:ind w:left="720" w:right="720"/>
        <w:jc w:val="both"/>
        <w:rPr>
          <w:rFonts w:ascii="Trebuchet MS" w:eastAsia="Cambria" w:hAnsi="Trebuchet MS"/>
          <w:i/>
          <w:color w:val="808080" w:themeColor="background1" w:themeShade="80"/>
          <w:sz w:val="20"/>
          <w:szCs w:val="20"/>
        </w:rPr>
      </w:pPr>
      <w:r w:rsidRPr="00492095">
        <w:rPr>
          <w:rFonts w:ascii="Trebuchet MS" w:eastAsia="Cambria" w:hAnsi="Trebuchet MS"/>
          <w:b/>
          <w:i/>
          <w:color w:val="808080" w:themeColor="background1" w:themeShade="80"/>
          <w:sz w:val="20"/>
          <w:szCs w:val="20"/>
          <w:highlight w:val="white"/>
        </w:rPr>
        <w:t xml:space="preserve">Abstract. </w:t>
      </w:r>
      <w:r w:rsidRPr="00492095">
        <w:rPr>
          <w:rFonts w:ascii="Trebuchet MS" w:eastAsia="Cambria" w:hAnsi="Trebuchet MS"/>
          <w:i/>
          <w:color w:val="808080" w:themeColor="background1" w:themeShade="80"/>
          <w:sz w:val="20"/>
          <w:szCs w:val="20"/>
          <w:highlight w:val="white"/>
        </w:rPr>
        <w:t xml:space="preserve">Permeable pavement </w:t>
      </w:r>
      <w:r w:rsidR="008A311F" w:rsidRPr="00492095">
        <w:rPr>
          <w:rFonts w:ascii="Trebuchet MS" w:eastAsia="Cambria" w:hAnsi="Trebuchet MS"/>
          <w:i/>
          <w:color w:val="808080" w:themeColor="background1" w:themeShade="80"/>
          <w:sz w:val="20"/>
          <w:szCs w:val="20"/>
          <w:highlight w:val="white"/>
        </w:rPr>
        <w:t xml:space="preserve">and </w:t>
      </w:r>
      <w:r w:rsidR="000B6647">
        <w:rPr>
          <w:rFonts w:ascii="Trebuchet MS" w:eastAsia="Cambria" w:hAnsi="Trebuchet MS"/>
          <w:i/>
          <w:color w:val="808080" w:themeColor="background1" w:themeShade="80"/>
          <w:sz w:val="20"/>
          <w:szCs w:val="20"/>
          <w:highlight w:val="white"/>
        </w:rPr>
        <w:t xml:space="preserve">right-of-way </w:t>
      </w:r>
      <w:proofErr w:type="spellStart"/>
      <w:r w:rsidR="008A311F" w:rsidRPr="00492095">
        <w:rPr>
          <w:rFonts w:ascii="Trebuchet MS" w:eastAsia="Cambria" w:hAnsi="Trebuchet MS"/>
          <w:i/>
          <w:color w:val="808080" w:themeColor="background1" w:themeShade="80"/>
          <w:sz w:val="20"/>
          <w:szCs w:val="20"/>
          <w:highlight w:val="white"/>
        </w:rPr>
        <w:t>bioswales</w:t>
      </w:r>
      <w:proofErr w:type="spellEnd"/>
      <w:r w:rsidR="008A311F" w:rsidRPr="00492095">
        <w:rPr>
          <w:rFonts w:ascii="Trebuchet MS" w:eastAsia="Cambria" w:hAnsi="Trebuchet MS"/>
          <w:i/>
          <w:color w:val="808080" w:themeColor="background1" w:themeShade="80"/>
          <w:sz w:val="20"/>
          <w:szCs w:val="20"/>
          <w:highlight w:val="white"/>
        </w:rPr>
        <w:t xml:space="preserve"> both capture</w:t>
      </w:r>
      <w:r w:rsidRPr="00492095">
        <w:rPr>
          <w:rFonts w:ascii="Trebuchet MS" w:eastAsia="Cambria" w:hAnsi="Trebuchet MS"/>
          <w:i/>
          <w:color w:val="808080" w:themeColor="background1" w:themeShade="80"/>
          <w:sz w:val="20"/>
          <w:szCs w:val="20"/>
          <w:highlight w:val="white"/>
        </w:rPr>
        <w:t xml:space="preserve"> storm</w:t>
      </w:r>
      <w:r w:rsidR="00D965BE" w:rsidRPr="00492095">
        <w:rPr>
          <w:rFonts w:ascii="Trebuchet MS" w:eastAsia="Cambria" w:hAnsi="Trebuchet MS"/>
          <w:i/>
          <w:color w:val="808080" w:themeColor="background1" w:themeShade="80"/>
          <w:sz w:val="20"/>
          <w:szCs w:val="20"/>
          <w:highlight w:val="white"/>
        </w:rPr>
        <w:t xml:space="preserve"> </w:t>
      </w:r>
      <w:r w:rsidRPr="00492095">
        <w:rPr>
          <w:rFonts w:ascii="Trebuchet MS" w:eastAsia="Cambria" w:hAnsi="Trebuchet MS"/>
          <w:i/>
          <w:color w:val="808080" w:themeColor="background1" w:themeShade="80"/>
          <w:sz w:val="20"/>
          <w:szCs w:val="20"/>
          <w:highlight w:val="white"/>
        </w:rPr>
        <w:t>water</w:t>
      </w:r>
      <w:r w:rsidR="00D965BE" w:rsidRPr="00492095">
        <w:rPr>
          <w:rFonts w:ascii="Trebuchet MS" w:eastAsia="Cambria" w:hAnsi="Trebuchet MS"/>
          <w:i/>
          <w:color w:val="808080" w:themeColor="background1" w:themeShade="80"/>
          <w:sz w:val="20"/>
          <w:szCs w:val="20"/>
        </w:rPr>
        <w:t>. They have different upfront costs. They also have different long-term maintenance and replacement costs</w:t>
      </w:r>
      <w:r w:rsidR="000B6647">
        <w:rPr>
          <w:rFonts w:ascii="Trebuchet MS" w:eastAsia="Cambria" w:hAnsi="Trebuchet MS"/>
          <w:i/>
          <w:color w:val="808080" w:themeColor="background1" w:themeShade="80"/>
          <w:sz w:val="20"/>
          <w:szCs w:val="20"/>
        </w:rPr>
        <w:t>, and they perform differently under varying volumes of rainfall</w:t>
      </w:r>
      <w:r w:rsidR="00D965BE" w:rsidRPr="00492095">
        <w:rPr>
          <w:rFonts w:ascii="Trebuchet MS" w:eastAsia="Cambria" w:hAnsi="Trebuchet MS"/>
          <w:i/>
          <w:color w:val="808080" w:themeColor="background1" w:themeShade="80"/>
          <w:sz w:val="20"/>
          <w:szCs w:val="20"/>
        </w:rPr>
        <w:t>. Th</w:t>
      </w:r>
      <w:r w:rsidR="000B6647">
        <w:rPr>
          <w:rFonts w:ascii="Trebuchet MS" w:eastAsia="Cambria" w:hAnsi="Trebuchet MS"/>
          <w:i/>
          <w:color w:val="808080" w:themeColor="background1" w:themeShade="80"/>
          <w:sz w:val="20"/>
          <w:szCs w:val="20"/>
        </w:rPr>
        <w:t>e</w:t>
      </w:r>
      <w:r w:rsidR="00D965BE" w:rsidRPr="00492095">
        <w:rPr>
          <w:rFonts w:ascii="Trebuchet MS" w:eastAsia="Cambria" w:hAnsi="Trebuchet MS"/>
          <w:i/>
          <w:color w:val="808080" w:themeColor="background1" w:themeShade="80"/>
          <w:sz w:val="20"/>
          <w:szCs w:val="20"/>
        </w:rPr>
        <w:t xml:space="preserve"> model accompanying this report is designed to help budget managers analyze those costs</w:t>
      </w:r>
      <w:r w:rsidR="000B6647">
        <w:rPr>
          <w:rFonts w:ascii="Trebuchet MS" w:eastAsia="Cambria" w:hAnsi="Trebuchet MS"/>
          <w:i/>
          <w:color w:val="808080" w:themeColor="background1" w:themeShade="80"/>
          <w:sz w:val="20"/>
          <w:szCs w:val="20"/>
        </w:rPr>
        <w:t xml:space="preserve"> </w:t>
      </w:r>
      <w:r w:rsidR="00D965BE" w:rsidRPr="00492095">
        <w:rPr>
          <w:rFonts w:ascii="Trebuchet MS" w:eastAsia="Cambria" w:hAnsi="Trebuchet MS"/>
          <w:i/>
          <w:color w:val="808080" w:themeColor="background1" w:themeShade="80"/>
          <w:sz w:val="20"/>
          <w:szCs w:val="20"/>
        </w:rPr>
        <w:t>across time</w:t>
      </w:r>
      <w:r w:rsidR="000B6647">
        <w:rPr>
          <w:rFonts w:ascii="Trebuchet MS" w:eastAsia="Cambria" w:hAnsi="Trebuchet MS"/>
          <w:i/>
          <w:color w:val="808080" w:themeColor="background1" w:themeShade="80"/>
          <w:sz w:val="20"/>
          <w:szCs w:val="20"/>
        </w:rPr>
        <w:t>. This will</w:t>
      </w:r>
      <w:r w:rsidR="00D965BE" w:rsidRPr="00492095">
        <w:rPr>
          <w:rFonts w:ascii="Trebuchet MS" w:eastAsia="Cambria" w:hAnsi="Trebuchet MS"/>
          <w:i/>
          <w:color w:val="808080" w:themeColor="background1" w:themeShade="80"/>
          <w:sz w:val="20"/>
          <w:szCs w:val="20"/>
        </w:rPr>
        <w:t xml:space="preserve"> help administrators and policy makers make informed decisions</w:t>
      </w:r>
      <w:r w:rsidR="00D90E3B">
        <w:rPr>
          <w:rFonts w:ascii="Trebuchet MS" w:eastAsia="Cambria" w:hAnsi="Trebuchet MS"/>
          <w:i/>
          <w:color w:val="808080" w:themeColor="background1" w:themeShade="80"/>
          <w:sz w:val="20"/>
          <w:szCs w:val="20"/>
        </w:rPr>
        <w:t xml:space="preserve"> when it comes to choosing between pavement and </w:t>
      </w:r>
      <w:proofErr w:type="spellStart"/>
      <w:r w:rsidR="00D90E3B">
        <w:rPr>
          <w:rFonts w:ascii="Trebuchet MS" w:eastAsia="Cambria" w:hAnsi="Trebuchet MS"/>
          <w:i/>
          <w:color w:val="808080" w:themeColor="background1" w:themeShade="80"/>
          <w:sz w:val="20"/>
          <w:szCs w:val="20"/>
        </w:rPr>
        <w:t>bioswales</w:t>
      </w:r>
      <w:proofErr w:type="spellEnd"/>
      <w:r w:rsidR="00D965BE" w:rsidRPr="00492095">
        <w:rPr>
          <w:rFonts w:ascii="Trebuchet MS" w:eastAsia="Cambria" w:hAnsi="Trebuchet MS"/>
          <w:i/>
          <w:color w:val="808080" w:themeColor="background1" w:themeShade="80"/>
          <w:sz w:val="20"/>
          <w:szCs w:val="20"/>
        </w:rPr>
        <w:t xml:space="preserve">. </w:t>
      </w:r>
    </w:p>
    <w:p w14:paraId="74DCC7B4" w14:textId="7BB7A07F" w:rsidR="00D965BE" w:rsidRPr="00492095" w:rsidRDefault="00D965BE">
      <w:pPr>
        <w:rPr>
          <w:rFonts w:ascii="Trebuchet MS" w:eastAsia="Cambria" w:hAnsi="Trebuchet MS" w:cs="Arial"/>
          <w:color w:val="000000"/>
          <w:lang w:eastAsia="ja-JP"/>
        </w:rPr>
      </w:pPr>
      <w:r w:rsidRPr="00492095">
        <w:rPr>
          <w:rFonts w:ascii="Trebuchet MS" w:eastAsia="Cambria" w:hAnsi="Trebuchet MS"/>
        </w:rPr>
        <w:br w:type="page"/>
      </w:r>
    </w:p>
    <w:p w14:paraId="1CA69DCC" w14:textId="36E23CBC" w:rsidR="00D965BE" w:rsidRPr="00492095" w:rsidRDefault="00D965BE">
      <w:pPr>
        <w:rPr>
          <w:rFonts w:ascii="Trebuchet MS" w:eastAsia="Cambria" w:hAnsi="Trebuchet MS" w:cs="Arial"/>
          <w:color w:val="000000"/>
          <w:lang w:eastAsia="ja-JP"/>
        </w:rPr>
      </w:pPr>
      <w:r w:rsidRPr="00492095">
        <w:rPr>
          <w:rFonts w:ascii="Trebuchet MS" w:eastAsia="Cambria" w:hAnsi="Trebuchet MS"/>
          <w:noProof/>
        </w:rPr>
        <w:lastRenderedPageBreak/>
        <mc:AlternateContent>
          <mc:Choice Requires="wps">
            <w:drawing>
              <wp:anchor distT="0" distB="0" distL="114300" distR="114300" simplePos="0" relativeHeight="251659264" behindDoc="0" locked="0" layoutInCell="1" allowOverlap="1" wp14:anchorId="2040C6C0" wp14:editId="42025932">
                <wp:simplePos x="0" y="0"/>
                <wp:positionH relativeFrom="column">
                  <wp:posOffset>1828800</wp:posOffset>
                </wp:positionH>
                <wp:positionV relativeFrom="paragraph">
                  <wp:posOffset>4343400</wp:posOffset>
                </wp:positionV>
                <wp:extent cx="21717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171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2EF20F" w14:textId="7848157E" w:rsidR="00190FCA" w:rsidRDefault="00190FCA">
                            <w:r>
                              <w:t>Page left intentionally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2in;margin-top:342pt;width:171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" filled="f" stroked="f">
                <v:textbox>
                  <w:txbxContent>
                    <w:p w14:paraId="382EF20F" w14:textId="7848157E" w:rsidR="00190FCA" w:rsidRDefault="00190FCA">
                      <w:r>
                        <w:t>Page left intentionally blank.</w:t>
                      </w:r>
                    </w:p>
                  </w:txbxContent>
                </v:textbox>
                <w10:wrap type="square"/>
              </v:shape>
            </w:pict>
          </mc:Fallback>
        </mc:AlternateContent>
      </w:r>
      <w:r w:rsidRPr="00492095">
        <w:rPr>
          <w:rFonts w:ascii="Trebuchet MS" w:eastAsia="Cambria" w:hAnsi="Trebuchet MS"/>
        </w:rPr>
        <w:br w:type="page"/>
      </w:r>
    </w:p>
    <w:p w14:paraId="0EB609E9" w14:textId="77777777" w:rsidR="00D965BE" w:rsidRPr="00492095" w:rsidRDefault="00D965BE" w:rsidP="00D965BE">
      <w:pPr>
        <w:pStyle w:val="Normal1"/>
        <w:spacing w:after="120" w:line="240" w:lineRule="auto"/>
        <w:ind w:right="720"/>
        <w:jc w:val="both"/>
        <w:rPr>
          <w:rFonts w:ascii="Trebuchet MS" w:eastAsia="Cambria" w:hAnsi="Trebuchet MS"/>
          <w:sz w:val="24"/>
        </w:rPr>
      </w:pPr>
    </w:p>
    <w:sdt>
      <w:sdtPr>
        <w:rPr>
          <w:rFonts w:ascii="Trebuchet MS" w:eastAsiaTheme="minorEastAsia" w:hAnsi="Trebuchet MS" w:cs="Arial"/>
          <w:b w:val="0"/>
          <w:bCs w:val="0"/>
          <w:color w:val="auto"/>
          <w:sz w:val="24"/>
          <w:szCs w:val="24"/>
        </w:rPr>
        <w:id w:val="1439793772"/>
        <w:docPartObj>
          <w:docPartGallery w:val="Table of Contents"/>
          <w:docPartUnique/>
        </w:docPartObj>
      </w:sdtPr>
      <w:sdtEndPr>
        <w:rPr>
          <w:noProof/>
        </w:rPr>
      </w:sdtEndPr>
      <w:sdtContent>
        <w:p w14:paraId="344AD7CA" w14:textId="77777777" w:rsidR="00B54EE0" w:rsidRPr="00492095" w:rsidRDefault="00B54EE0">
          <w:pPr>
            <w:pStyle w:val="TOCHeading"/>
            <w:rPr>
              <w:rFonts w:ascii="Trebuchet MS" w:hAnsi="Trebuchet MS" w:cs="Arial"/>
            </w:rPr>
          </w:pPr>
        </w:p>
        <w:p w14:paraId="36453654" w14:textId="2E8D1148" w:rsidR="00B54EE0" w:rsidRPr="00492095" w:rsidRDefault="00B54EE0" w:rsidP="00B54EE0">
          <w:pPr>
            <w:rPr>
              <w:rFonts w:ascii="Trebuchet MS" w:eastAsiaTheme="majorEastAsia" w:hAnsi="Trebuchet MS" w:cs="Arial"/>
              <w:color w:val="365F91" w:themeColor="accent1" w:themeShade="BF"/>
              <w:sz w:val="28"/>
              <w:szCs w:val="28"/>
            </w:rPr>
          </w:pPr>
        </w:p>
        <w:p w14:paraId="1841F51B" w14:textId="77777777" w:rsidR="00B54EE0" w:rsidRPr="00492095" w:rsidRDefault="00B54EE0">
          <w:pPr>
            <w:pStyle w:val="TOCHeading"/>
            <w:rPr>
              <w:rFonts w:ascii="Trebuchet MS" w:hAnsi="Trebuchet MS" w:cs="Arial"/>
            </w:rPr>
          </w:pPr>
          <w:r w:rsidRPr="00492095">
            <w:rPr>
              <w:rFonts w:ascii="Trebuchet MS" w:hAnsi="Trebuchet MS" w:cs="Arial"/>
            </w:rPr>
            <w:t>Table of Contents</w:t>
          </w:r>
        </w:p>
        <w:p w14:paraId="3FF97044" w14:textId="77777777" w:rsidR="008B0C4E" w:rsidRDefault="00B54EE0">
          <w:pPr>
            <w:pStyle w:val="TOC1"/>
            <w:tabs>
              <w:tab w:val="right" w:leader="dot" w:pos="9350"/>
            </w:tabs>
            <w:rPr>
              <w:b w:val="0"/>
              <w:noProof/>
              <w:lang w:eastAsia="ja-JP"/>
            </w:rPr>
          </w:pPr>
          <w:r w:rsidRPr="00492095">
            <w:rPr>
              <w:rFonts w:ascii="Trebuchet MS" w:hAnsi="Trebuchet MS" w:cs="Arial"/>
              <w:b w:val="0"/>
            </w:rPr>
            <w:fldChar w:fldCharType="begin"/>
          </w:r>
          <w:r w:rsidRPr="00492095">
            <w:rPr>
              <w:rFonts w:ascii="Trebuchet MS" w:hAnsi="Trebuchet MS" w:cs="Arial"/>
            </w:rPr>
            <w:instrText xml:space="preserve"> TOC \o "1-3" \h \z \u </w:instrText>
          </w:r>
          <w:r w:rsidRPr="00492095">
            <w:rPr>
              <w:rFonts w:ascii="Trebuchet MS" w:hAnsi="Trebuchet MS" w:cs="Arial"/>
              <w:b w:val="0"/>
            </w:rPr>
            <w:fldChar w:fldCharType="separate"/>
          </w:r>
          <w:r w:rsidR="008B0C4E" w:rsidRPr="00C70687">
            <w:rPr>
              <w:rFonts w:ascii="Trebuchet MS" w:hAnsi="Trebuchet MS" w:cs="Arial"/>
              <w:noProof/>
              <w:highlight w:val="white"/>
            </w:rPr>
            <w:t>Introduction and background</w:t>
          </w:r>
          <w:r w:rsidR="008B0C4E">
            <w:rPr>
              <w:noProof/>
            </w:rPr>
            <w:tab/>
          </w:r>
          <w:r w:rsidR="008B0C4E">
            <w:rPr>
              <w:noProof/>
            </w:rPr>
            <w:fldChar w:fldCharType="begin"/>
          </w:r>
          <w:r w:rsidR="008B0C4E">
            <w:rPr>
              <w:noProof/>
            </w:rPr>
            <w:instrText xml:space="preserve"> PAGEREF _Toc266201036 \h </w:instrText>
          </w:r>
          <w:r w:rsidR="008B0C4E">
            <w:rPr>
              <w:noProof/>
            </w:rPr>
          </w:r>
          <w:r w:rsidR="008B0C4E">
            <w:rPr>
              <w:noProof/>
            </w:rPr>
            <w:fldChar w:fldCharType="separate"/>
          </w:r>
          <w:r w:rsidR="008B0C4E">
            <w:rPr>
              <w:noProof/>
            </w:rPr>
            <w:t>5</w:t>
          </w:r>
          <w:r w:rsidR="008B0C4E">
            <w:rPr>
              <w:noProof/>
            </w:rPr>
            <w:fldChar w:fldCharType="end"/>
          </w:r>
        </w:p>
        <w:p w14:paraId="5F54B3B9" w14:textId="77777777" w:rsidR="008B0C4E" w:rsidRDefault="008B0C4E">
          <w:pPr>
            <w:pStyle w:val="TOC2"/>
            <w:tabs>
              <w:tab w:val="right" w:leader="dot" w:pos="9350"/>
            </w:tabs>
            <w:rPr>
              <w:b w:val="0"/>
              <w:noProof/>
              <w:sz w:val="24"/>
              <w:szCs w:val="24"/>
              <w:lang w:eastAsia="ja-JP"/>
            </w:rPr>
          </w:pPr>
          <w:r w:rsidRPr="00C70687">
            <w:rPr>
              <w:rFonts w:ascii="Trebuchet MS" w:hAnsi="Trebuchet MS" w:cs="Arial"/>
              <w:noProof/>
              <w:highlight w:val="white"/>
            </w:rPr>
            <w:t>Life-cycle cost analysis</w:t>
          </w:r>
          <w:r>
            <w:rPr>
              <w:noProof/>
            </w:rPr>
            <w:tab/>
          </w:r>
          <w:r>
            <w:rPr>
              <w:noProof/>
            </w:rPr>
            <w:fldChar w:fldCharType="begin"/>
          </w:r>
          <w:r>
            <w:rPr>
              <w:noProof/>
            </w:rPr>
            <w:instrText xml:space="preserve"> PAGEREF _Toc266201037 \h </w:instrText>
          </w:r>
          <w:r>
            <w:rPr>
              <w:noProof/>
            </w:rPr>
          </w:r>
          <w:r>
            <w:rPr>
              <w:noProof/>
            </w:rPr>
            <w:fldChar w:fldCharType="separate"/>
          </w:r>
          <w:r>
            <w:rPr>
              <w:noProof/>
            </w:rPr>
            <w:t>5</w:t>
          </w:r>
          <w:r>
            <w:rPr>
              <w:noProof/>
            </w:rPr>
            <w:fldChar w:fldCharType="end"/>
          </w:r>
        </w:p>
        <w:p w14:paraId="4F7FA3F0" w14:textId="77777777" w:rsidR="008B0C4E" w:rsidRDefault="008B0C4E">
          <w:pPr>
            <w:pStyle w:val="TOC2"/>
            <w:tabs>
              <w:tab w:val="right" w:leader="dot" w:pos="9350"/>
            </w:tabs>
            <w:rPr>
              <w:b w:val="0"/>
              <w:noProof/>
              <w:sz w:val="24"/>
              <w:szCs w:val="24"/>
              <w:lang w:eastAsia="ja-JP"/>
            </w:rPr>
          </w:pPr>
          <w:r w:rsidRPr="00C70687">
            <w:rPr>
              <w:rFonts w:ascii="Trebuchet MS" w:hAnsi="Trebuchet MS" w:cs="Arial"/>
              <w:noProof/>
              <w:highlight w:val="white"/>
            </w:rPr>
            <w:t>Green infrastructure</w:t>
          </w:r>
          <w:r>
            <w:rPr>
              <w:noProof/>
            </w:rPr>
            <w:tab/>
          </w:r>
          <w:r>
            <w:rPr>
              <w:noProof/>
            </w:rPr>
            <w:fldChar w:fldCharType="begin"/>
          </w:r>
          <w:r>
            <w:rPr>
              <w:noProof/>
            </w:rPr>
            <w:instrText xml:space="preserve"> PAGEREF _Toc266201038 \h </w:instrText>
          </w:r>
          <w:r>
            <w:rPr>
              <w:noProof/>
            </w:rPr>
          </w:r>
          <w:r>
            <w:rPr>
              <w:noProof/>
            </w:rPr>
            <w:fldChar w:fldCharType="separate"/>
          </w:r>
          <w:r>
            <w:rPr>
              <w:noProof/>
            </w:rPr>
            <w:t>6</w:t>
          </w:r>
          <w:r>
            <w:rPr>
              <w:noProof/>
            </w:rPr>
            <w:fldChar w:fldCharType="end"/>
          </w:r>
        </w:p>
        <w:p w14:paraId="6EC0FEF5"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Methods</w:t>
          </w:r>
          <w:r>
            <w:rPr>
              <w:noProof/>
            </w:rPr>
            <w:tab/>
          </w:r>
          <w:r>
            <w:rPr>
              <w:noProof/>
            </w:rPr>
            <w:fldChar w:fldCharType="begin"/>
          </w:r>
          <w:r>
            <w:rPr>
              <w:noProof/>
            </w:rPr>
            <w:instrText xml:space="preserve"> PAGEREF _Toc266201039 \h </w:instrText>
          </w:r>
          <w:r>
            <w:rPr>
              <w:noProof/>
            </w:rPr>
          </w:r>
          <w:r>
            <w:rPr>
              <w:noProof/>
            </w:rPr>
            <w:fldChar w:fldCharType="separate"/>
          </w:r>
          <w:r>
            <w:rPr>
              <w:noProof/>
            </w:rPr>
            <w:t>7</w:t>
          </w:r>
          <w:r>
            <w:rPr>
              <w:noProof/>
            </w:rPr>
            <w:fldChar w:fldCharType="end"/>
          </w:r>
        </w:p>
        <w:p w14:paraId="7D01F5DC"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Units of analysis</w:t>
          </w:r>
          <w:r>
            <w:rPr>
              <w:noProof/>
            </w:rPr>
            <w:tab/>
          </w:r>
          <w:r>
            <w:rPr>
              <w:noProof/>
            </w:rPr>
            <w:fldChar w:fldCharType="begin"/>
          </w:r>
          <w:r>
            <w:rPr>
              <w:noProof/>
            </w:rPr>
            <w:instrText xml:space="preserve"> PAGEREF _Toc266201040 \h </w:instrText>
          </w:r>
          <w:r>
            <w:rPr>
              <w:noProof/>
            </w:rPr>
          </w:r>
          <w:r>
            <w:rPr>
              <w:noProof/>
            </w:rPr>
            <w:fldChar w:fldCharType="separate"/>
          </w:r>
          <w:r>
            <w:rPr>
              <w:noProof/>
            </w:rPr>
            <w:t>9</w:t>
          </w:r>
          <w:r>
            <w:rPr>
              <w:noProof/>
            </w:rPr>
            <w:fldChar w:fldCharType="end"/>
          </w:r>
        </w:p>
        <w:p w14:paraId="4F41F8AD"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Location analyzed</w:t>
          </w:r>
          <w:r>
            <w:rPr>
              <w:noProof/>
            </w:rPr>
            <w:tab/>
          </w:r>
          <w:r>
            <w:rPr>
              <w:noProof/>
            </w:rPr>
            <w:fldChar w:fldCharType="begin"/>
          </w:r>
          <w:r>
            <w:rPr>
              <w:noProof/>
            </w:rPr>
            <w:instrText xml:space="preserve"> PAGEREF _Toc266201041 \h </w:instrText>
          </w:r>
          <w:r>
            <w:rPr>
              <w:noProof/>
            </w:rPr>
          </w:r>
          <w:r>
            <w:rPr>
              <w:noProof/>
            </w:rPr>
            <w:fldChar w:fldCharType="separate"/>
          </w:r>
          <w:r>
            <w:rPr>
              <w:noProof/>
            </w:rPr>
            <w:t>10</w:t>
          </w:r>
          <w:r>
            <w:rPr>
              <w:noProof/>
            </w:rPr>
            <w:fldChar w:fldCharType="end"/>
          </w:r>
        </w:p>
        <w:p w14:paraId="30EDD326"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Analysis period</w:t>
          </w:r>
          <w:r>
            <w:rPr>
              <w:noProof/>
            </w:rPr>
            <w:tab/>
          </w:r>
          <w:r>
            <w:rPr>
              <w:noProof/>
            </w:rPr>
            <w:fldChar w:fldCharType="begin"/>
          </w:r>
          <w:r>
            <w:rPr>
              <w:noProof/>
            </w:rPr>
            <w:instrText xml:space="preserve"> PAGEREF _Toc266201042 \h </w:instrText>
          </w:r>
          <w:r>
            <w:rPr>
              <w:noProof/>
            </w:rPr>
          </w:r>
          <w:r>
            <w:rPr>
              <w:noProof/>
            </w:rPr>
            <w:fldChar w:fldCharType="separate"/>
          </w:r>
          <w:r>
            <w:rPr>
              <w:noProof/>
            </w:rPr>
            <w:t>11</w:t>
          </w:r>
          <w:r>
            <w:rPr>
              <w:noProof/>
            </w:rPr>
            <w:fldChar w:fldCharType="end"/>
          </w:r>
        </w:p>
        <w:p w14:paraId="2ECA2B87"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Data and inputs</w:t>
          </w:r>
          <w:r>
            <w:rPr>
              <w:noProof/>
            </w:rPr>
            <w:tab/>
          </w:r>
          <w:r>
            <w:rPr>
              <w:noProof/>
            </w:rPr>
            <w:fldChar w:fldCharType="begin"/>
          </w:r>
          <w:r>
            <w:rPr>
              <w:noProof/>
            </w:rPr>
            <w:instrText xml:space="preserve"> PAGEREF _Toc266201043 \h </w:instrText>
          </w:r>
          <w:r>
            <w:rPr>
              <w:noProof/>
            </w:rPr>
          </w:r>
          <w:r>
            <w:rPr>
              <w:noProof/>
            </w:rPr>
            <w:fldChar w:fldCharType="separate"/>
          </w:r>
          <w:r>
            <w:rPr>
              <w:noProof/>
            </w:rPr>
            <w:t>11</w:t>
          </w:r>
          <w:r>
            <w:rPr>
              <w:noProof/>
            </w:rPr>
            <w:fldChar w:fldCharType="end"/>
          </w:r>
        </w:p>
        <w:p w14:paraId="1CF4A1E7" w14:textId="77777777" w:rsidR="008B0C4E" w:rsidRDefault="008B0C4E">
          <w:pPr>
            <w:pStyle w:val="TOC2"/>
            <w:tabs>
              <w:tab w:val="right" w:leader="dot" w:pos="9350"/>
            </w:tabs>
            <w:rPr>
              <w:b w:val="0"/>
              <w:noProof/>
              <w:sz w:val="24"/>
              <w:szCs w:val="24"/>
              <w:lang w:eastAsia="ja-JP"/>
            </w:rPr>
          </w:pPr>
          <w:r w:rsidRPr="00C70687">
            <w:rPr>
              <w:rFonts w:ascii="Trebuchet MS" w:hAnsi="Trebuchet MS" w:cs="Arial"/>
              <w:noProof/>
              <w:highlight w:val="white"/>
            </w:rPr>
            <w:t>Bioswale</w:t>
          </w:r>
          <w:r>
            <w:rPr>
              <w:noProof/>
            </w:rPr>
            <w:tab/>
          </w:r>
          <w:r>
            <w:rPr>
              <w:noProof/>
            </w:rPr>
            <w:fldChar w:fldCharType="begin"/>
          </w:r>
          <w:r>
            <w:rPr>
              <w:noProof/>
            </w:rPr>
            <w:instrText xml:space="preserve"> PAGEREF _Toc266201044 \h </w:instrText>
          </w:r>
          <w:r>
            <w:rPr>
              <w:noProof/>
            </w:rPr>
          </w:r>
          <w:r>
            <w:rPr>
              <w:noProof/>
            </w:rPr>
            <w:fldChar w:fldCharType="separate"/>
          </w:r>
          <w:r>
            <w:rPr>
              <w:noProof/>
            </w:rPr>
            <w:t>11</w:t>
          </w:r>
          <w:r>
            <w:rPr>
              <w:noProof/>
            </w:rPr>
            <w:fldChar w:fldCharType="end"/>
          </w:r>
        </w:p>
        <w:p w14:paraId="6FF3D5CF" w14:textId="77777777" w:rsidR="008B0C4E" w:rsidRDefault="008B0C4E">
          <w:pPr>
            <w:pStyle w:val="TOC2"/>
            <w:tabs>
              <w:tab w:val="right" w:leader="dot" w:pos="9350"/>
            </w:tabs>
            <w:rPr>
              <w:b w:val="0"/>
              <w:noProof/>
              <w:sz w:val="24"/>
              <w:szCs w:val="24"/>
              <w:lang w:eastAsia="ja-JP"/>
            </w:rPr>
          </w:pPr>
          <w:r w:rsidRPr="00C70687">
            <w:rPr>
              <w:rFonts w:ascii="Trebuchet MS" w:hAnsi="Trebuchet MS" w:cs="Arial"/>
              <w:noProof/>
              <w:highlight w:val="white"/>
            </w:rPr>
            <w:t>Permeable pavement</w:t>
          </w:r>
          <w:r>
            <w:rPr>
              <w:noProof/>
            </w:rPr>
            <w:tab/>
          </w:r>
          <w:r>
            <w:rPr>
              <w:noProof/>
            </w:rPr>
            <w:fldChar w:fldCharType="begin"/>
          </w:r>
          <w:r>
            <w:rPr>
              <w:noProof/>
            </w:rPr>
            <w:instrText xml:space="preserve"> PAGEREF _Toc266201045 \h </w:instrText>
          </w:r>
          <w:r>
            <w:rPr>
              <w:noProof/>
            </w:rPr>
          </w:r>
          <w:r>
            <w:rPr>
              <w:noProof/>
            </w:rPr>
            <w:fldChar w:fldCharType="separate"/>
          </w:r>
          <w:r>
            <w:rPr>
              <w:noProof/>
            </w:rPr>
            <w:t>13</w:t>
          </w:r>
          <w:r>
            <w:rPr>
              <w:noProof/>
            </w:rPr>
            <w:fldChar w:fldCharType="end"/>
          </w:r>
        </w:p>
        <w:p w14:paraId="785E5D8F"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Findings and sensitivity analysis</w:t>
          </w:r>
          <w:r>
            <w:rPr>
              <w:noProof/>
            </w:rPr>
            <w:tab/>
          </w:r>
          <w:r>
            <w:rPr>
              <w:noProof/>
            </w:rPr>
            <w:fldChar w:fldCharType="begin"/>
          </w:r>
          <w:r>
            <w:rPr>
              <w:noProof/>
            </w:rPr>
            <w:instrText xml:space="preserve"> PAGEREF _Toc266201046 \h </w:instrText>
          </w:r>
          <w:r>
            <w:rPr>
              <w:noProof/>
            </w:rPr>
          </w:r>
          <w:r>
            <w:rPr>
              <w:noProof/>
            </w:rPr>
            <w:fldChar w:fldCharType="separate"/>
          </w:r>
          <w:r>
            <w:rPr>
              <w:noProof/>
            </w:rPr>
            <w:t>14</w:t>
          </w:r>
          <w:r>
            <w:rPr>
              <w:noProof/>
            </w:rPr>
            <w:fldChar w:fldCharType="end"/>
          </w:r>
        </w:p>
        <w:p w14:paraId="57381E6D"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Limitations</w:t>
          </w:r>
          <w:r>
            <w:rPr>
              <w:noProof/>
            </w:rPr>
            <w:tab/>
          </w:r>
          <w:r>
            <w:rPr>
              <w:noProof/>
            </w:rPr>
            <w:fldChar w:fldCharType="begin"/>
          </w:r>
          <w:r>
            <w:rPr>
              <w:noProof/>
            </w:rPr>
            <w:instrText xml:space="preserve"> PAGEREF _Toc266201047 \h </w:instrText>
          </w:r>
          <w:r>
            <w:rPr>
              <w:noProof/>
            </w:rPr>
          </w:r>
          <w:r>
            <w:rPr>
              <w:noProof/>
            </w:rPr>
            <w:fldChar w:fldCharType="separate"/>
          </w:r>
          <w:r>
            <w:rPr>
              <w:noProof/>
            </w:rPr>
            <w:t>14</w:t>
          </w:r>
          <w:r>
            <w:rPr>
              <w:noProof/>
            </w:rPr>
            <w:fldChar w:fldCharType="end"/>
          </w:r>
        </w:p>
        <w:p w14:paraId="1EF40F98" w14:textId="77777777" w:rsidR="008B0C4E" w:rsidRDefault="008B0C4E">
          <w:pPr>
            <w:pStyle w:val="TOC1"/>
            <w:tabs>
              <w:tab w:val="right" w:leader="dot" w:pos="9350"/>
            </w:tabs>
            <w:rPr>
              <w:b w:val="0"/>
              <w:noProof/>
              <w:lang w:eastAsia="ja-JP"/>
            </w:rPr>
          </w:pPr>
          <w:r w:rsidRPr="00C70687">
            <w:rPr>
              <w:rFonts w:ascii="Trebuchet MS" w:hAnsi="Trebuchet MS" w:cs="Arial"/>
              <w:noProof/>
              <w:highlight w:val="white"/>
            </w:rPr>
            <w:t>Recommendations for agencies, policy makers</w:t>
          </w:r>
          <w:r>
            <w:rPr>
              <w:noProof/>
            </w:rPr>
            <w:tab/>
          </w:r>
          <w:r>
            <w:rPr>
              <w:noProof/>
            </w:rPr>
            <w:fldChar w:fldCharType="begin"/>
          </w:r>
          <w:r>
            <w:rPr>
              <w:noProof/>
            </w:rPr>
            <w:instrText xml:space="preserve"> PAGEREF _Toc266201048 \h </w:instrText>
          </w:r>
          <w:r>
            <w:rPr>
              <w:noProof/>
            </w:rPr>
          </w:r>
          <w:r>
            <w:rPr>
              <w:noProof/>
            </w:rPr>
            <w:fldChar w:fldCharType="separate"/>
          </w:r>
          <w:r>
            <w:rPr>
              <w:noProof/>
            </w:rPr>
            <w:t>15</w:t>
          </w:r>
          <w:r>
            <w:rPr>
              <w:noProof/>
            </w:rPr>
            <w:fldChar w:fldCharType="end"/>
          </w:r>
        </w:p>
        <w:p w14:paraId="14070573" w14:textId="77777777" w:rsidR="008B0C4E" w:rsidRDefault="008B0C4E">
          <w:pPr>
            <w:pStyle w:val="TOC1"/>
            <w:tabs>
              <w:tab w:val="right" w:leader="dot" w:pos="9350"/>
            </w:tabs>
            <w:rPr>
              <w:b w:val="0"/>
              <w:noProof/>
              <w:lang w:eastAsia="ja-JP"/>
            </w:rPr>
          </w:pPr>
          <w:r w:rsidRPr="00C70687">
            <w:rPr>
              <w:rFonts w:ascii="Trebuchet MS" w:hAnsi="Trebuchet MS"/>
              <w:noProof/>
            </w:rPr>
            <w:t>References</w:t>
          </w:r>
          <w:r>
            <w:rPr>
              <w:noProof/>
            </w:rPr>
            <w:tab/>
          </w:r>
          <w:r>
            <w:rPr>
              <w:noProof/>
            </w:rPr>
            <w:fldChar w:fldCharType="begin"/>
          </w:r>
          <w:r>
            <w:rPr>
              <w:noProof/>
            </w:rPr>
            <w:instrText xml:space="preserve"> PAGEREF _Toc266201049 \h </w:instrText>
          </w:r>
          <w:r>
            <w:rPr>
              <w:noProof/>
            </w:rPr>
          </w:r>
          <w:r>
            <w:rPr>
              <w:noProof/>
            </w:rPr>
            <w:fldChar w:fldCharType="separate"/>
          </w:r>
          <w:r>
            <w:rPr>
              <w:noProof/>
            </w:rPr>
            <w:t>17</w:t>
          </w:r>
          <w:r>
            <w:rPr>
              <w:noProof/>
            </w:rPr>
            <w:fldChar w:fldCharType="end"/>
          </w:r>
        </w:p>
        <w:p w14:paraId="3A3C33C0" w14:textId="77777777" w:rsidR="00B54EE0" w:rsidRPr="00492095" w:rsidRDefault="00B54EE0">
          <w:pPr>
            <w:rPr>
              <w:rFonts w:ascii="Trebuchet MS" w:hAnsi="Trebuchet MS" w:cs="Arial"/>
            </w:rPr>
          </w:pPr>
          <w:r w:rsidRPr="00492095">
            <w:rPr>
              <w:rFonts w:ascii="Trebuchet MS" w:hAnsi="Trebuchet MS" w:cs="Arial"/>
              <w:b/>
              <w:bCs/>
              <w:noProof/>
            </w:rPr>
            <w:fldChar w:fldCharType="end"/>
          </w:r>
        </w:p>
      </w:sdtContent>
    </w:sdt>
    <w:p w14:paraId="329A1E7F" w14:textId="77777777" w:rsidR="00B54EE0" w:rsidRPr="00492095" w:rsidRDefault="00B54EE0" w:rsidP="00B54EE0">
      <w:pPr>
        <w:pStyle w:val="Normal1"/>
        <w:spacing w:after="120" w:line="240" w:lineRule="auto"/>
        <w:rPr>
          <w:rFonts w:ascii="Trebuchet MS" w:hAnsi="Trebuchet MS"/>
          <w:sz w:val="24"/>
        </w:rPr>
      </w:pPr>
    </w:p>
    <w:p w14:paraId="5D90CE7E" w14:textId="20B759DE" w:rsidR="00D965BE" w:rsidRPr="00492095" w:rsidRDefault="00B54EE0">
      <w:pPr>
        <w:rPr>
          <w:rFonts w:ascii="Trebuchet MS" w:hAnsi="Trebuchet MS" w:cs="Arial"/>
          <w:highlight w:val="white"/>
        </w:rPr>
      </w:pPr>
      <w:r w:rsidRPr="00492095">
        <w:rPr>
          <w:rFonts w:ascii="Trebuchet MS" w:hAnsi="Trebuchet MS" w:cs="Arial"/>
          <w:highlight w:val="white"/>
        </w:rPr>
        <w:br w:type="page"/>
      </w:r>
      <w:r w:rsidR="008B0C4E" w:rsidRPr="00492095">
        <w:rPr>
          <w:rFonts w:ascii="Trebuchet MS" w:eastAsia="Cambria" w:hAnsi="Trebuchet MS"/>
          <w:noProof/>
        </w:rPr>
        <w:lastRenderedPageBreak/>
        <mc:AlternateContent>
          <mc:Choice Requires="wps">
            <w:drawing>
              <wp:anchor distT="0" distB="0" distL="114300" distR="114300" simplePos="0" relativeHeight="251661312" behindDoc="0" locked="0" layoutInCell="1" allowOverlap="1" wp14:anchorId="1AE3BE89" wp14:editId="34FF5ECF">
                <wp:simplePos x="0" y="0"/>
                <wp:positionH relativeFrom="column">
                  <wp:posOffset>1943100</wp:posOffset>
                </wp:positionH>
                <wp:positionV relativeFrom="paragraph">
                  <wp:posOffset>4457700</wp:posOffset>
                </wp:positionV>
                <wp:extent cx="2171700" cy="571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171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31D34B" w14:textId="77777777" w:rsidR="00190FCA" w:rsidRDefault="00190FCA" w:rsidP="00D965BE">
                            <w:r>
                              <w:t>Page left intentionally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2" o:spid="_x0000_s1027" type="#_x0000_t202" style="position:absolute;margin-left:153pt;margin-top:351pt;width:171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" filled="f" stroked="f">
                <v:textbox>
                  <w:txbxContent>
                    <w:p w14:paraId="5431D34B" w14:textId="77777777" w:rsidR="00190FCA" w:rsidRDefault="00190FCA" w:rsidP="00D965BE">
                      <w:r>
                        <w:t>Page left intentionally blank.</w:t>
                      </w:r>
                    </w:p>
                  </w:txbxContent>
                </v:textbox>
                <w10:wrap type="square"/>
              </v:shape>
            </w:pict>
          </mc:Fallback>
        </mc:AlternateContent>
      </w:r>
      <w:r w:rsidR="00D965BE" w:rsidRPr="00492095">
        <w:rPr>
          <w:rFonts w:ascii="Trebuchet MS" w:hAnsi="Trebuchet MS" w:cs="Arial"/>
          <w:highlight w:val="white"/>
        </w:rPr>
        <w:br w:type="page"/>
      </w:r>
    </w:p>
    <w:p w14:paraId="62FB0D15" w14:textId="77777777" w:rsidR="00B54EE0" w:rsidRPr="00492095" w:rsidRDefault="00B54EE0">
      <w:pPr>
        <w:rPr>
          <w:rFonts w:ascii="Trebuchet MS" w:eastAsiaTheme="majorEastAsia" w:hAnsi="Trebuchet MS" w:cs="Arial"/>
          <w:b/>
          <w:bCs/>
          <w:color w:val="345A8A" w:themeColor="accent1" w:themeShade="B5"/>
          <w:sz w:val="32"/>
          <w:szCs w:val="32"/>
          <w:highlight w:val="white"/>
        </w:rPr>
      </w:pPr>
    </w:p>
    <w:p w14:paraId="174EA83E" w14:textId="77777777" w:rsidR="00B54EE0" w:rsidRPr="00492095" w:rsidRDefault="00B54EE0" w:rsidP="00DA5AE3">
      <w:pPr>
        <w:pStyle w:val="Heading1"/>
        <w:spacing w:before="0" w:after="120" w:line="276" w:lineRule="auto"/>
        <w:rPr>
          <w:rFonts w:ascii="Trebuchet MS" w:hAnsi="Trebuchet MS" w:cs="Arial"/>
        </w:rPr>
      </w:pPr>
      <w:bookmarkStart w:id="1" w:name="_Toc266201036"/>
      <w:r w:rsidRPr="00492095">
        <w:rPr>
          <w:rFonts w:ascii="Trebuchet MS" w:hAnsi="Trebuchet MS" w:cs="Arial"/>
          <w:highlight w:val="white"/>
        </w:rPr>
        <w:t>Introduction and background</w:t>
      </w:r>
      <w:bookmarkEnd w:id="1"/>
    </w:p>
    <w:p w14:paraId="391EEE6D" w14:textId="620DCB90" w:rsidR="00D90E3B" w:rsidRDefault="00C47ADA" w:rsidP="00DA5AE3">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t xml:space="preserve">This project applies life-cycle cost analysis to infrastructure </w:t>
      </w:r>
      <w:r w:rsidR="00DA5AE3" w:rsidRPr="00492095">
        <w:rPr>
          <w:rFonts w:ascii="Trebuchet MS" w:eastAsia="Cambria" w:hAnsi="Trebuchet MS"/>
          <w:sz w:val="24"/>
          <w:highlight w:val="white"/>
        </w:rPr>
        <w:t>and capital project analysis</w:t>
      </w:r>
      <w:r w:rsidR="00D90E3B">
        <w:rPr>
          <w:rFonts w:ascii="Trebuchet MS" w:eastAsia="Cambria" w:hAnsi="Trebuchet MS"/>
          <w:sz w:val="24"/>
          <w:highlight w:val="white"/>
        </w:rPr>
        <w:t xml:space="preserve"> at t</w:t>
      </w:r>
      <w:r w:rsidRPr="00492095">
        <w:rPr>
          <w:rFonts w:ascii="Trebuchet MS" w:eastAsia="Cambria" w:hAnsi="Trebuchet MS"/>
          <w:sz w:val="24"/>
          <w:highlight w:val="white"/>
        </w:rPr>
        <w:t>he City</w:t>
      </w:r>
      <w:r w:rsidR="00DA5AE3" w:rsidRPr="00492095">
        <w:rPr>
          <w:rFonts w:ascii="Trebuchet MS" w:eastAsia="Cambria" w:hAnsi="Trebuchet MS"/>
          <w:sz w:val="24"/>
          <w:highlight w:val="white"/>
        </w:rPr>
        <w:t xml:space="preserve"> of New York</w:t>
      </w:r>
      <w:r w:rsidR="000B7233" w:rsidRPr="00492095">
        <w:rPr>
          <w:rFonts w:ascii="Trebuchet MS" w:eastAsia="Cambria" w:hAnsi="Trebuchet MS"/>
          <w:sz w:val="24"/>
          <w:highlight w:val="white"/>
        </w:rPr>
        <w:t xml:space="preserve"> (City)</w:t>
      </w:r>
      <w:r w:rsidR="00D90E3B">
        <w:rPr>
          <w:rFonts w:ascii="Trebuchet MS" w:eastAsia="Cambria" w:hAnsi="Trebuchet MS"/>
          <w:sz w:val="24"/>
          <w:highlight w:val="white"/>
        </w:rPr>
        <w:t>. The City’s</w:t>
      </w:r>
      <w:r w:rsidRPr="00492095">
        <w:rPr>
          <w:rFonts w:ascii="Trebuchet MS" w:eastAsia="Cambria" w:hAnsi="Trebuchet MS"/>
          <w:sz w:val="24"/>
          <w:highlight w:val="white"/>
        </w:rPr>
        <w:t xml:space="preserve"> design department has shown great interest in helping agencies and budget managers analyze capital projects</w:t>
      </w:r>
      <w:r w:rsidR="00D90E3B">
        <w:rPr>
          <w:rFonts w:ascii="Trebuchet MS" w:eastAsia="Cambria" w:hAnsi="Trebuchet MS"/>
          <w:sz w:val="24"/>
          <w:highlight w:val="white"/>
        </w:rPr>
        <w:t>. Specifically, the department hopes to see managers evaluate capital projects</w:t>
      </w:r>
      <w:r w:rsidRPr="00492095">
        <w:rPr>
          <w:rFonts w:ascii="Trebuchet MS" w:eastAsia="Cambria" w:hAnsi="Trebuchet MS"/>
          <w:sz w:val="24"/>
          <w:highlight w:val="white"/>
        </w:rPr>
        <w:t xml:space="preserve"> across </w:t>
      </w:r>
      <w:r w:rsidR="00D90E3B">
        <w:rPr>
          <w:rFonts w:ascii="Trebuchet MS" w:eastAsia="Cambria" w:hAnsi="Trebuchet MS"/>
          <w:sz w:val="24"/>
          <w:highlight w:val="white"/>
        </w:rPr>
        <w:t>projects’</w:t>
      </w:r>
      <w:r w:rsidR="00DA5AE3" w:rsidRPr="00492095">
        <w:rPr>
          <w:rFonts w:ascii="Trebuchet MS" w:eastAsia="Cambria" w:hAnsi="Trebuchet MS"/>
          <w:sz w:val="24"/>
          <w:highlight w:val="white"/>
        </w:rPr>
        <w:t xml:space="preserve"> expected lifespans, not just based on up-front capital costs. </w:t>
      </w:r>
    </w:p>
    <w:p w14:paraId="1BCBE98A" w14:textId="71A2C8E7" w:rsidR="00C47ADA" w:rsidRPr="00492095" w:rsidRDefault="00DA5AE3" w:rsidP="00DA5AE3">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t xml:space="preserve">This project </w:t>
      </w:r>
      <w:r w:rsidR="00D90E3B">
        <w:rPr>
          <w:rFonts w:ascii="Trebuchet MS" w:eastAsia="Cambria" w:hAnsi="Trebuchet MS"/>
          <w:sz w:val="24"/>
          <w:highlight w:val="white"/>
        </w:rPr>
        <w:t>provides</w:t>
      </w:r>
      <w:r w:rsidRPr="00492095">
        <w:rPr>
          <w:rFonts w:ascii="Trebuchet MS" w:eastAsia="Cambria" w:hAnsi="Trebuchet MS"/>
          <w:sz w:val="24"/>
          <w:highlight w:val="white"/>
        </w:rPr>
        <w:t xml:space="preserve"> a model that can help the C</w:t>
      </w:r>
      <w:r w:rsidR="00C47ADA" w:rsidRPr="00492095">
        <w:rPr>
          <w:rFonts w:ascii="Trebuchet MS" w:eastAsia="Cambria" w:hAnsi="Trebuchet MS"/>
          <w:sz w:val="24"/>
          <w:highlight w:val="white"/>
        </w:rPr>
        <w:t>ity view capital projects across a 30-year time horizon</w:t>
      </w:r>
      <w:r w:rsidR="00D90E3B">
        <w:rPr>
          <w:rFonts w:ascii="Trebuchet MS" w:eastAsia="Cambria" w:hAnsi="Trebuchet MS"/>
          <w:sz w:val="24"/>
          <w:highlight w:val="white"/>
        </w:rPr>
        <w:t>. I have</w:t>
      </w:r>
      <w:r w:rsidR="00AD1B62" w:rsidRPr="00492095">
        <w:rPr>
          <w:rFonts w:ascii="Trebuchet MS" w:eastAsia="Cambria" w:hAnsi="Trebuchet MS"/>
          <w:sz w:val="24"/>
          <w:highlight w:val="white"/>
        </w:rPr>
        <w:t xml:space="preserve"> </w:t>
      </w:r>
      <w:r w:rsidR="00C47ADA" w:rsidRPr="00492095">
        <w:rPr>
          <w:rFonts w:ascii="Trebuchet MS" w:eastAsia="Cambria" w:hAnsi="Trebuchet MS"/>
          <w:sz w:val="24"/>
          <w:highlight w:val="white"/>
        </w:rPr>
        <w:t xml:space="preserve">designed </w:t>
      </w:r>
      <w:r w:rsidR="00D90E3B">
        <w:rPr>
          <w:rFonts w:ascii="Trebuchet MS" w:eastAsia="Cambria" w:hAnsi="Trebuchet MS"/>
          <w:sz w:val="24"/>
          <w:highlight w:val="white"/>
        </w:rPr>
        <w:t>the model</w:t>
      </w:r>
      <w:r w:rsidR="00C47ADA" w:rsidRPr="00492095">
        <w:rPr>
          <w:rFonts w:ascii="Trebuchet MS" w:eastAsia="Cambria" w:hAnsi="Trebuchet MS"/>
          <w:sz w:val="24"/>
          <w:highlight w:val="white"/>
        </w:rPr>
        <w:t xml:space="preserve"> to easily accommodate an analysis of two specific types of infrastructure. The </w:t>
      </w:r>
      <w:r w:rsidR="00D90E3B">
        <w:rPr>
          <w:rFonts w:ascii="Trebuchet MS" w:eastAsia="Cambria" w:hAnsi="Trebuchet MS"/>
          <w:sz w:val="24"/>
          <w:highlight w:val="white"/>
        </w:rPr>
        <w:t>Bloomberg</w:t>
      </w:r>
      <w:r w:rsidR="00C47ADA" w:rsidRPr="00492095">
        <w:rPr>
          <w:rFonts w:ascii="Trebuchet MS" w:eastAsia="Cambria" w:hAnsi="Trebuchet MS"/>
          <w:sz w:val="24"/>
          <w:highlight w:val="white"/>
        </w:rPr>
        <w:t xml:space="preserve"> </w:t>
      </w:r>
      <w:r w:rsidR="00D90E3B">
        <w:rPr>
          <w:rFonts w:ascii="Trebuchet MS" w:eastAsia="Cambria" w:hAnsi="Trebuchet MS"/>
          <w:sz w:val="24"/>
          <w:highlight w:val="white"/>
        </w:rPr>
        <w:t>A</w:t>
      </w:r>
      <w:r w:rsidR="00C47ADA" w:rsidRPr="00492095">
        <w:rPr>
          <w:rFonts w:ascii="Trebuchet MS" w:eastAsia="Cambria" w:hAnsi="Trebuchet MS"/>
          <w:sz w:val="24"/>
          <w:highlight w:val="white"/>
        </w:rPr>
        <w:t>dministration invested heavily in sustainability while wrestling with t</w:t>
      </w:r>
      <w:r w:rsidR="00AD1B62" w:rsidRPr="00492095">
        <w:rPr>
          <w:rFonts w:ascii="Trebuchet MS" w:eastAsia="Cambria" w:hAnsi="Trebuchet MS"/>
          <w:sz w:val="24"/>
          <w:highlight w:val="white"/>
        </w:rPr>
        <w:t xml:space="preserve">he issue of water </w:t>
      </w:r>
      <w:proofErr w:type="gramStart"/>
      <w:r w:rsidR="00AD1B62" w:rsidRPr="00492095">
        <w:rPr>
          <w:rFonts w:ascii="Trebuchet MS" w:eastAsia="Cambria" w:hAnsi="Trebuchet MS"/>
          <w:sz w:val="24"/>
          <w:highlight w:val="white"/>
        </w:rPr>
        <w:t>quality,</w:t>
      </w:r>
      <w:proofErr w:type="gramEnd"/>
      <w:r w:rsidR="00AD1B62" w:rsidRPr="00492095">
        <w:rPr>
          <w:rFonts w:ascii="Trebuchet MS" w:eastAsia="Cambria" w:hAnsi="Trebuchet MS"/>
          <w:sz w:val="24"/>
          <w:highlight w:val="white"/>
        </w:rPr>
        <w:t xml:space="preserve"> and this project therefore applies the model’s nuts and bolts to </w:t>
      </w:r>
      <w:r w:rsidR="00C47ADA" w:rsidRPr="00492095">
        <w:rPr>
          <w:rFonts w:ascii="Trebuchet MS" w:eastAsia="Cambria" w:hAnsi="Trebuchet MS"/>
          <w:sz w:val="24"/>
          <w:highlight w:val="white"/>
        </w:rPr>
        <w:t>two types of green infrastructure, pe</w:t>
      </w:r>
      <w:r w:rsidR="00AD1B62" w:rsidRPr="00492095">
        <w:rPr>
          <w:rFonts w:ascii="Trebuchet MS" w:eastAsia="Cambria" w:hAnsi="Trebuchet MS"/>
          <w:sz w:val="24"/>
          <w:highlight w:val="white"/>
        </w:rPr>
        <w:t xml:space="preserve">rmeable pavement and </w:t>
      </w:r>
      <w:proofErr w:type="spellStart"/>
      <w:r w:rsidR="00AD1B62" w:rsidRPr="00492095">
        <w:rPr>
          <w:rFonts w:ascii="Trebuchet MS" w:eastAsia="Cambria" w:hAnsi="Trebuchet MS"/>
          <w:sz w:val="24"/>
          <w:highlight w:val="white"/>
        </w:rPr>
        <w:t>bioswales</w:t>
      </w:r>
      <w:proofErr w:type="spellEnd"/>
      <w:r w:rsidR="00AD1B62" w:rsidRPr="00492095">
        <w:rPr>
          <w:rFonts w:ascii="Trebuchet MS" w:eastAsia="Cambria" w:hAnsi="Trebuchet MS"/>
          <w:sz w:val="24"/>
          <w:highlight w:val="white"/>
        </w:rPr>
        <w:t>.</w:t>
      </w:r>
    </w:p>
    <w:p w14:paraId="63195690" w14:textId="421CD0E4" w:rsidR="00C47ADA" w:rsidRPr="00492095" w:rsidRDefault="00C47ADA" w:rsidP="00DA5AE3">
      <w:pPr>
        <w:pStyle w:val="Heading2"/>
        <w:spacing w:before="0" w:after="120" w:line="276" w:lineRule="auto"/>
        <w:rPr>
          <w:rFonts w:ascii="Trebuchet MS" w:hAnsi="Trebuchet MS" w:cs="Arial"/>
          <w:highlight w:val="white"/>
        </w:rPr>
      </w:pPr>
      <w:bookmarkStart w:id="2" w:name="_Toc266201037"/>
      <w:r w:rsidRPr="00492095">
        <w:rPr>
          <w:rFonts w:ascii="Trebuchet MS" w:hAnsi="Trebuchet MS" w:cs="Arial"/>
          <w:highlight w:val="white"/>
        </w:rPr>
        <w:t>Life-cycle cost analysis</w:t>
      </w:r>
      <w:bookmarkEnd w:id="2"/>
    </w:p>
    <w:p w14:paraId="7138AFB8" w14:textId="727F5816" w:rsidR="00180C9E" w:rsidRPr="00492095" w:rsidRDefault="00C47ADA" w:rsidP="00DA5AE3">
      <w:pPr>
        <w:pStyle w:val="Normal1"/>
        <w:spacing w:after="120"/>
        <w:rPr>
          <w:rFonts w:ascii="Trebuchet MS" w:eastAsia="Cambria" w:hAnsi="Trebuchet MS"/>
          <w:b/>
          <w:sz w:val="24"/>
          <w:highlight w:val="white"/>
        </w:rPr>
      </w:pPr>
      <w:r w:rsidRPr="00492095">
        <w:rPr>
          <w:rFonts w:ascii="Trebuchet MS" w:eastAsia="Cambria" w:hAnsi="Trebuchet MS"/>
          <w:sz w:val="24"/>
          <w:highlight w:val="white"/>
        </w:rPr>
        <w:t xml:space="preserve">The City and at least one </w:t>
      </w:r>
      <w:r w:rsidR="00D90E3B">
        <w:rPr>
          <w:rFonts w:ascii="Trebuchet MS" w:eastAsia="Cambria" w:hAnsi="Trebuchet MS"/>
          <w:sz w:val="24"/>
          <w:highlight w:val="white"/>
        </w:rPr>
        <w:t>sister</w:t>
      </w:r>
      <w:r w:rsidRPr="00492095">
        <w:rPr>
          <w:rFonts w:ascii="Trebuchet MS" w:eastAsia="Cambria" w:hAnsi="Trebuchet MS"/>
          <w:sz w:val="24"/>
          <w:highlight w:val="white"/>
        </w:rPr>
        <w:t xml:space="preserve"> </w:t>
      </w:r>
      <w:r w:rsidR="00D90E3B">
        <w:rPr>
          <w:rFonts w:ascii="Trebuchet MS" w:eastAsia="Cambria" w:hAnsi="Trebuchet MS"/>
          <w:sz w:val="24"/>
          <w:highlight w:val="white"/>
        </w:rPr>
        <w:t>entity</w:t>
      </w:r>
      <w:r w:rsidR="00D90E3B">
        <w:rPr>
          <w:rStyle w:val="FootnoteReference"/>
          <w:rFonts w:ascii="Trebuchet MS" w:eastAsia="Cambria" w:hAnsi="Trebuchet MS"/>
          <w:sz w:val="24"/>
          <w:highlight w:val="white"/>
        </w:rPr>
        <w:footnoteReference w:id="1"/>
      </w:r>
      <w:r w:rsidR="00AD1B62" w:rsidRPr="00492095">
        <w:rPr>
          <w:rFonts w:ascii="Trebuchet MS" w:eastAsia="Cambria" w:hAnsi="Trebuchet MS"/>
          <w:sz w:val="24"/>
          <w:highlight w:val="white"/>
        </w:rPr>
        <w:t xml:space="preserve"> ha</w:t>
      </w:r>
      <w:r w:rsidR="00D90E3B">
        <w:rPr>
          <w:rFonts w:ascii="Trebuchet MS" w:eastAsia="Cambria" w:hAnsi="Trebuchet MS"/>
          <w:sz w:val="24"/>
          <w:highlight w:val="white"/>
        </w:rPr>
        <w:t>ve</w:t>
      </w:r>
      <w:r w:rsidR="00AD1B62" w:rsidRPr="00492095">
        <w:rPr>
          <w:rFonts w:ascii="Trebuchet MS" w:eastAsia="Cambria" w:hAnsi="Trebuchet MS"/>
          <w:sz w:val="24"/>
          <w:highlight w:val="white"/>
        </w:rPr>
        <w:t xml:space="preserve"> taken tangible and visible</w:t>
      </w:r>
      <w:r w:rsidRPr="00492095">
        <w:rPr>
          <w:rFonts w:ascii="Trebuchet MS" w:eastAsia="Cambria" w:hAnsi="Trebuchet MS"/>
          <w:sz w:val="24"/>
          <w:highlight w:val="white"/>
        </w:rPr>
        <w:t xml:space="preserve"> steps toward </w:t>
      </w:r>
      <w:r w:rsidR="00AD1B62" w:rsidRPr="00492095">
        <w:rPr>
          <w:rFonts w:ascii="Trebuchet MS" w:eastAsia="Cambria" w:hAnsi="Trebuchet MS"/>
          <w:sz w:val="24"/>
          <w:highlight w:val="white"/>
        </w:rPr>
        <w:t>incorporating life-cycle cost (</w:t>
      </w:r>
      <w:proofErr w:type="spellStart"/>
      <w:r w:rsidR="00AD1B62" w:rsidRPr="00492095">
        <w:rPr>
          <w:rFonts w:ascii="Trebuchet MS" w:eastAsia="Cambria" w:hAnsi="Trebuchet MS"/>
          <w:sz w:val="24"/>
          <w:highlight w:val="white"/>
        </w:rPr>
        <w:t>LCC</w:t>
      </w:r>
      <w:proofErr w:type="spellEnd"/>
      <w:r w:rsidR="00AD1B62" w:rsidRPr="00492095">
        <w:rPr>
          <w:rFonts w:ascii="Trebuchet MS" w:eastAsia="Cambria" w:hAnsi="Trebuchet MS"/>
          <w:sz w:val="24"/>
          <w:highlight w:val="white"/>
        </w:rPr>
        <w:t xml:space="preserve">) analysis </w:t>
      </w:r>
      <w:r w:rsidRPr="00492095">
        <w:rPr>
          <w:rFonts w:ascii="Trebuchet MS" w:eastAsia="Cambria" w:hAnsi="Trebuchet MS"/>
          <w:sz w:val="24"/>
          <w:highlight w:val="white"/>
        </w:rPr>
        <w:t xml:space="preserve">into capital planning. </w:t>
      </w:r>
      <w:r w:rsidR="00AD1B62" w:rsidRPr="00492095">
        <w:rPr>
          <w:rFonts w:ascii="Trebuchet MS" w:eastAsia="Cambria" w:hAnsi="Trebuchet MS"/>
          <w:sz w:val="24"/>
          <w:highlight w:val="white"/>
        </w:rPr>
        <w:t xml:space="preserve">Holistic analytical tools such as </w:t>
      </w:r>
      <w:proofErr w:type="spellStart"/>
      <w:r w:rsidR="00AD1B62" w:rsidRPr="00492095">
        <w:rPr>
          <w:rFonts w:ascii="Trebuchet MS" w:eastAsia="Cambria" w:hAnsi="Trebuchet MS"/>
          <w:sz w:val="24"/>
          <w:highlight w:val="white"/>
        </w:rPr>
        <w:t>LCC</w:t>
      </w:r>
      <w:proofErr w:type="spellEnd"/>
      <w:r w:rsidR="00AD1B62" w:rsidRPr="00492095">
        <w:rPr>
          <w:rFonts w:ascii="Trebuchet MS" w:eastAsia="Cambria" w:hAnsi="Trebuchet MS"/>
          <w:sz w:val="24"/>
          <w:highlight w:val="white"/>
        </w:rPr>
        <w:t xml:space="preserve"> guide investment decisions to help minimize the City’s operating costs by considering long-run responsibilities, not just up-front capital spending. As put by the Port Authority of New York and New Jersey:</w:t>
      </w:r>
      <w:r w:rsidR="00AD1B62" w:rsidRPr="00492095">
        <w:rPr>
          <w:rFonts w:ascii="Trebuchet MS" w:eastAsia="Cambria" w:hAnsi="Trebuchet MS"/>
          <w:b/>
          <w:sz w:val="24"/>
          <w:highlight w:val="white"/>
        </w:rPr>
        <w:t xml:space="preserve"> </w:t>
      </w:r>
    </w:p>
    <w:p w14:paraId="046209F2" w14:textId="5EF82552" w:rsidR="00180C9E" w:rsidRPr="00492095" w:rsidRDefault="00180C9E" w:rsidP="00AD1B62">
      <w:pPr>
        <w:pStyle w:val="Normal1"/>
        <w:spacing w:after="120"/>
        <w:ind w:left="720" w:right="720"/>
        <w:rPr>
          <w:rFonts w:ascii="Trebuchet MS" w:eastAsia="Cambria" w:hAnsi="Trebuchet MS"/>
          <w:i/>
          <w:color w:val="808080" w:themeColor="background1" w:themeShade="80"/>
          <w:sz w:val="24"/>
          <w:highlight w:val="white"/>
        </w:rPr>
      </w:pPr>
      <w:r w:rsidRPr="00492095">
        <w:rPr>
          <w:rFonts w:ascii="Trebuchet MS" w:eastAsia="Cambria" w:hAnsi="Trebuchet MS"/>
          <w:i/>
          <w:color w:val="808080" w:themeColor="background1" w:themeShade="80"/>
          <w:sz w:val="24"/>
          <w:highlight w:val="white"/>
        </w:rPr>
        <w:t>“… [C]</w:t>
      </w:r>
      <w:proofErr w:type="spellStart"/>
      <w:r w:rsidRPr="00492095">
        <w:rPr>
          <w:rFonts w:ascii="Trebuchet MS" w:eastAsia="Cambria" w:hAnsi="Trebuchet MS"/>
          <w:i/>
          <w:color w:val="808080" w:themeColor="background1" w:themeShade="80"/>
          <w:sz w:val="24"/>
          <w:highlight w:val="white"/>
        </w:rPr>
        <w:t>osts</w:t>
      </w:r>
      <w:proofErr w:type="spellEnd"/>
      <w:r w:rsidRPr="00492095">
        <w:rPr>
          <w:rFonts w:ascii="Trebuchet MS" w:eastAsia="Cambria" w:hAnsi="Trebuchet MS"/>
          <w:i/>
          <w:color w:val="808080" w:themeColor="background1" w:themeShade="80"/>
          <w:sz w:val="24"/>
          <w:highlight w:val="white"/>
        </w:rPr>
        <w:t xml:space="preserve"> and benefits are evaluated over a single replacement or rehabilitation lifecycle for major project components. All alternatives must be evaluated over the same period in order to avoid distortions in the analysis. Where the alternatives under consideration have different lives, the longest life should be chosen as a common appraisal period for all alternatives.” </w:t>
      </w:r>
    </w:p>
    <w:p w14:paraId="766C6D99" w14:textId="549A9281" w:rsidR="00C47ADA" w:rsidRPr="00492095" w:rsidRDefault="00D90E3B" w:rsidP="00DA5AE3">
      <w:pPr>
        <w:pStyle w:val="Normal1"/>
        <w:spacing w:after="120"/>
        <w:rPr>
          <w:rFonts w:ascii="Trebuchet MS" w:eastAsia="Cambria" w:hAnsi="Trebuchet MS"/>
          <w:sz w:val="24"/>
          <w:highlight w:val="white"/>
        </w:rPr>
      </w:pPr>
      <w:r>
        <w:rPr>
          <w:rFonts w:ascii="Trebuchet MS" w:eastAsia="Cambria" w:hAnsi="Trebuchet MS"/>
          <w:sz w:val="24"/>
          <w:highlight w:val="white"/>
        </w:rPr>
        <w:t>Life-cycle cost analysis is common, and is not limited to any given sector (public, private, academic, et cetera). T</w:t>
      </w:r>
      <w:r w:rsidR="00C47ADA" w:rsidRPr="00492095">
        <w:rPr>
          <w:rFonts w:ascii="Trebuchet MS" w:eastAsia="Cambria" w:hAnsi="Trebuchet MS"/>
          <w:sz w:val="24"/>
          <w:highlight w:val="white"/>
        </w:rPr>
        <w:t xml:space="preserve">he State of New York </w:t>
      </w:r>
      <w:r w:rsidR="00624BDE">
        <w:rPr>
          <w:rFonts w:ascii="Trebuchet MS" w:eastAsia="Cambria" w:hAnsi="Trebuchet MS"/>
          <w:sz w:val="24"/>
          <w:highlight w:val="white"/>
        </w:rPr>
        <w:t xml:space="preserve">(State) </w:t>
      </w:r>
      <w:r w:rsidR="00C47ADA" w:rsidRPr="00492095">
        <w:rPr>
          <w:rFonts w:ascii="Trebuchet MS" w:eastAsia="Cambria" w:hAnsi="Trebuchet MS"/>
          <w:sz w:val="24"/>
          <w:highlight w:val="white"/>
        </w:rPr>
        <w:t xml:space="preserve">applies </w:t>
      </w:r>
      <w:proofErr w:type="spellStart"/>
      <w:r>
        <w:rPr>
          <w:rFonts w:ascii="Trebuchet MS" w:eastAsia="Cambria" w:hAnsi="Trebuchet MS"/>
          <w:sz w:val="24"/>
          <w:highlight w:val="white"/>
        </w:rPr>
        <w:t>LCC</w:t>
      </w:r>
      <w:proofErr w:type="spellEnd"/>
      <w:r>
        <w:rPr>
          <w:rFonts w:ascii="Trebuchet MS" w:eastAsia="Cambria" w:hAnsi="Trebuchet MS"/>
          <w:sz w:val="24"/>
          <w:highlight w:val="white"/>
        </w:rPr>
        <w:t>,</w:t>
      </w:r>
      <w:r w:rsidR="00C47ADA" w:rsidRPr="00492095">
        <w:rPr>
          <w:rFonts w:ascii="Trebuchet MS" w:eastAsia="Cambria" w:hAnsi="Trebuchet MS"/>
          <w:sz w:val="24"/>
          <w:highlight w:val="white"/>
        </w:rPr>
        <w:t xml:space="preserve"> or cost-benefit analysis </w:t>
      </w:r>
      <w:r>
        <w:rPr>
          <w:rFonts w:ascii="Trebuchet MS" w:eastAsia="Cambria" w:hAnsi="Trebuchet MS"/>
          <w:sz w:val="24"/>
          <w:highlight w:val="white"/>
        </w:rPr>
        <w:t xml:space="preserve">(closely related), </w:t>
      </w:r>
      <w:r w:rsidR="00C47ADA" w:rsidRPr="00492095">
        <w:rPr>
          <w:rFonts w:ascii="Trebuchet MS" w:eastAsia="Cambria" w:hAnsi="Trebuchet MS"/>
          <w:sz w:val="24"/>
          <w:highlight w:val="white"/>
        </w:rPr>
        <w:t>at many levels, as does the federal government. For example, the New York Sta</w:t>
      </w:r>
      <w:r w:rsidR="000B7233" w:rsidRPr="00492095">
        <w:rPr>
          <w:rFonts w:ascii="Trebuchet MS" w:eastAsia="Cambria" w:hAnsi="Trebuchet MS"/>
          <w:sz w:val="24"/>
          <w:highlight w:val="white"/>
        </w:rPr>
        <w:t xml:space="preserve">te Department of Transportation </w:t>
      </w:r>
      <w:r w:rsidR="00C47ADA" w:rsidRPr="00492095">
        <w:rPr>
          <w:rFonts w:ascii="Trebuchet MS" w:eastAsia="Cambria" w:hAnsi="Trebuchet MS"/>
          <w:sz w:val="24"/>
          <w:highlight w:val="white"/>
        </w:rPr>
        <w:t xml:space="preserve">follows </w:t>
      </w:r>
      <w:r w:rsidR="00AD1B62" w:rsidRPr="00492095">
        <w:rPr>
          <w:rFonts w:ascii="Trebuchet MS" w:eastAsia="Cambria" w:hAnsi="Trebuchet MS"/>
          <w:i/>
          <w:sz w:val="24"/>
          <w:highlight w:val="white"/>
        </w:rPr>
        <w:t>a</w:t>
      </w:r>
      <w:r w:rsidR="00AD1B62" w:rsidRPr="00492095">
        <w:rPr>
          <w:rFonts w:ascii="Trebuchet MS" w:eastAsia="Cambria" w:hAnsi="Trebuchet MS"/>
          <w:sz w:val="24"/>
          <w:highlight w:val="white"/>
        </w:rPr>
        <w:t xml:space="preserve"> </w:t>
      </w:r>
      <w:r>
        <w:rPr>
          <w:rFonts w:ascii="Trebuchet MS" w:eastAsia="Cambria" w:hAnsi="Trebuchet MS"/>
          <w:i/>
          <w:sz w:val="24"/>
          <w:highlight w:val="white"/>
        </w:rPr>
        <w:t>published</w:t>
      </w:r>
      <w:r w:rsidR="00D25BDC" w:rsidRPr="00492095">
        <w:rPr>
          <w:rFonts w:ascii="Trebuchet MS" w:eastAsia="Cambria" w:hAnsi="Trebuchet MS"/>
          <w:sz w:val="24"/>
          <w:highlight w:val="white"/>
        </w:rPr>
        <w:t xml:space="preserve"> life-cycle costing guide that helps </w:t>
      </w:r>
      <w:r>
        <w:rPr>
          <w:rFonts w:ascii="Trebuchet MS" w:eastAsia="Cambria" w:hAnsi="Trebuchet MS"/>
          <w:sz w:val="24"/>
          <w:highlight w:val="white"/>
        </w:rPr>
        <w:t>its managers</w:t>
      </w:r>
      <w:r w:rsidR="00D25BDC" w:rsidRPr="00492095">
        <w:rPr>
          <w:rFonts w:ascii="Trebuchet MS" w:eastAsia="Cambria" w:hAnsi="Trebuchet MS"/>
          <w:sz w:val="24"/>
          <w:highlight w:val="white"/>
        </w:rPr>
        <w:t xml:space="preserve"> determine whether to build </w:t>
      </w:r>
      <w:r>
        <w:rPr>
          <w:rFonts w:ascii="Trebuchet MS" w:eastAsia="Cambria" w:hAnsi="Trebuchet MS"/>
          <w:sz w:val="24"/>
          <w:highlight w:val="white"/>
        </w:rPr>
        <w:t xml:space="preserve">certain </w:t>
      </w:r>
      <w:r w:rsidR="00D25BDC" w:rsidRPr="00492095">
        <w:rPr>
          <w:rFonts w:ascii="Trebuchet MS" w:eastAsia="Cambria" w:hAnsi="Trebuchet MS"/>
          <w:sz w:val="24"/>
          <w:highlight w:val="white"/>
        </w:rPr>
        <w:t>individual projects using asphalt, which costs less up front but requires more maintenance, or concrete, which costs more bu</w:t>
      </w:r>
      <w:r w:rsidR="00AD1B62" w:rsidRPr="00492095">
        <w:rPr>
          <w:rFonts w:ascii="Trebuchet MS" w:eastAsia="Cambria" w:hAnsi="Trebuchet MS"/>
          <w:sz w:val="24"/>
          <w:highlight w:val="white"/>
        </w:rPr>
        <w:t>t is durable.</w:t>
      </w:r>
    </w:p>
    <w:p w14:paraId="66731462" w14:textId="35B3847C" w:rsidR="00AD366F" w:rsidRPr="00492095" w:rsidRDefault="00AD1B62" w:rsidP="00DA5AE3">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lastRenderedPageBreak/>
        <w:t>This project follows in the footsteps of</w:t>
      </w:r>
      <w:r w:rsidR="00C47ADA" w:rsidRPr="00492095">
        <w:rPr>
          <w:rFonts w:ascii="Trebuchet MS" w:eastAsia="Cambria" w:hAnsi="Trebuchet MS"/>
          <w:sz w:val="24"/>
          <w:highlight w:val="white"/>
        </w:rPr>
        <w:t xml:space="preserve"> group of New York University’s Wagner School of Public Policy </w:t>
      </w:r>
      <w:r w:rsidRPr="00492095">
        <w:rPr>
          <w:rFonts w:ascii="Trebuchet MS" w:eastAsia="Cambria" w:hAnsi="Trebuchet MS"/>
          <w:sz w:val="24"/>
          <w:highlight w:val="white"/>
        </w:rPr>
        <w:t xml:space="preserve">students, who </w:t>
      </w:r>
      <w:r w:rsidR="00C47ADA" w:rsidRPr="00492095">
        <w:rPr>
          <w:rFonts w:ascii="Trebuchet MS" w:eastAsia="Cambria" w:hAnsi="Trebuchet MS"/>
          <w:sz w:val="24"/>
          <w:highlight w:val="white"/>
        </w:rPr>
        <w:t xml:space="preserve">built a life-cycle cost model in 2011. </w:t>
      </w:r>
      <w:r w:rsidRPr="00492095">
        <w:rPr>
          <w:rFonts w:ascii="Trebuchet MS" w:eastAsia="Cambria" w:hAnsi="Trebuchet MS"/>
          <w:sz w:val="24"/>
          <w:highlight w:val="white"/>
        </w:rPr>
        <w:t xml:space="preserve">The team examined the comprehensive costs and benefits of different design elements in road and streetscape projects, trying to consider life-long costs </w:t>
      </w:r>
      <w:r w:rsidRPr="00492095">
        <w:rPr>
          <w:rFonts w:ascii="Trebuchet MS" w:eastAsia="Cambria" w:hAnsi="Trebuchet MS"/>
          <w:i/>
          <w:sz w:val="24"/>
          <w:highlight w:val="white"/>
          <w:u w:val="single"/>
        </w:rPr>
        <w:t>and</w:t>
      </w:r>
      <w:r w:rsidRPr="00492095">
        <w:rPr>
          <w:rFonts w:ascii="Trebuchet MS" w:eastAsia="Cambria" w:hAnsi="Trebuchet MS"/>
          <w:sz w:val="24"/>
          <w:highlight w:val="white"/>
        </w:rPr>
        <w:t xml:space="preserve"> external benefits to help policy makers and administrators choose between alternatives during the capital planning process. The guide aimed to help the city’s transportation managers understand how different materials — for example, granite versus concrete </w:t>
      </w:r>
      <w:r w:rsidR="00D90E3B">
        <w:rPr>
          <w:rFonts w:ascii="Trebuchet MS" w:eastAsia="Cambria" w:hAnsi="Trebuchet MS"/>
          <w:sz w:val="24"/>
          <w:highlight w:val="white"/>
        </w:rPr>
        <w:t>—</w:t>
      </w:r>
      <w:r w:rsidRPr="00492095">
        <w:rPr>
          <w:rFonts w:ascii="Trebuchet MS" w:eastAsia="Cambria" w:hAnsi="Trebuchet MS"/>
          <w:sz w:val="24"/>
          <w:highlight w:val="white"/>
        </w:rPr>
        <w:t xml:space="preserve"> perform, and cost, over time. </w:t>
      </w:r>
    </w:p>
    <w:p w14:paraId="557773AC" w14:textId="124CC498" w:rsidR="00D25BDC" w:rsidRPr="00492095" w:rsidRDefault="00D25BDC" w:rsidP="00DA5AE3">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t>This model was built for</w:t>
      </w:r>
      <w:r w:rsidR="00AD1B62" w:rsidRPr="00492095">
        <w:rPr>
          <w:rFonts w:ascii="Trebuchet MS" w:eastAsia="Cambria" w:hAnsi="Trebuchet MS"/>
          <w:sz w:val="24"/>
          <w:highlight w:val="white"/>
        </w:rPr>
        <w:t xml:space="preserve"> accessibility and simplicity. Any g</w:t>
      </w:r>
      <w:r w:rsidRPr="00492095">
        <w:rPr>
          <w:rFonts w:ascii="Trebuchet MS" w:eastAsia="Cambria" w:hAnsi="Trebuchet MS"/>
          <w:sz w:val="24"/>
          <w:highlight w:val="white"/>
        </w:rPr>
        <w:t xml:space="preserve">reen infrastructure </w:t>
      </w:r>
      <w:r w:rsidR="000B7233" w:rsidRPr="00492095">
        <w:rPr>
          <w:rFonts w:ascii="Trebuchet MS" w:eastAsia="Cambria" w:hAnsi="Trebuchet MS"/>
          <w:sz w:val="24"/>
          <w:highlight w:val="white"/>
        </w:rPr>
        <w:t xml:space="preserve">(GI) </w:t>
      </w:r>
      <w:r w:rsidRPr="00492095">
        <w:rPr>
          <w:rFonts w:ascii="Trebuchet MS" w:eastAsia="Cambria" w:hAnsi="Trebuchet MS"/>
          <w:sz w:val="24"/>
          <w:highlight w:val="white"/>
        </w:rPr>
        <w:t>specialists f</w:t>
      </w:r>
      <w:r w:rsidR="00AD1B62" w:rsidRPr="00492095">
        <w:rPr>
          <w:rFonts w:ascii="Trebuchet MS" w:eastAsia="Cambria" w:hAnsi="Trebuchet MS"/>
          <w:sz w:val="24"/>
          <w:highlight w:val="white"/>
        </w:rPr>
        <w:t xml:space="preserve">rom sister agencies at the City, at least those willing to sit at the </w:t>
      </w:r>
      <w:r w:rsidRPr="00492095">
        <w:rPr>
          <w:rFonts w:ascii="Trebuchet MS" w:eastAsia="Cambria" w:hAnsi="Trebuchet MS"/>
          <w:sz w:val="24"/>
          <w:highlight w:val="white"/>
        </w:rPr>
        <w:t>table and plug in reasonable assumptions — estimates — will be able to easily find and compare life-cycle cost estimates of alternative types of green infrastructure. In the absence of that sort of cross-agency collaboration, other analysts at the City can</w:t>
      </w:r>
      <w:r w:rsidR="00D90E3B">
        <w:rPr>
          <w:rFonts w:ascii="Trebuchet MS" w:eastAsia="Cambria" w:hAnsi="Trebuchet MS"/>
          <w:sz w:val="24"/>
          <w:highlight w:val="white"/>
        </w:rPr>
        <w:t xml:space="preserve"> </w:t>
      </w:r>
      <w:r w:rsidRPr="00492095">
        <w:rPr>
          <w:rFonts w:ascii="Trebuchet MS" w:eastAsia="Cambria" w:hAnsi="Trebuchet MS"/>
          <w:sz w:val="24"/>
          <w:highlight w:val="white"/>
        </w:rPr>
        <w:t>still use the mo</w:t>
      </w:r>
      <w:r w:rsidR="00AD366F" w:rsidRPr="00492095">
        <w:rPr>
          <w:rFonts w:ascii="Trebuchet MS" w:eastAsia="Cambria" w:hAnsi="Trebuchet MS"/>
          <w:sz w:val="24"/>
          <w:highlight w:val="white"/>
        </w:rPr>
        <w:t>del to help illuminate the tradeoffs</w:t>
      </w:r>
      <w:r w:rsidRPr="00492095">
        <w:rPr>
          <w:rFonts w:ascii="Trebuchet MS" w:eastAsia="Cambria" w:hAnsi="Trebuchet MS"/>
          <w:sz w:val="24"/>
          <w:highlight w:val="white"/>
        </w:rPr>
        <w:t xml:space="preserve"> associated wi</w:t>
      </w:r>
      <w:r w:rsidR="00AD366F" w:rsidRPr="00492095">
        <w:rPr>
          <w:rFonts w:ascii="Trebuchet MS" w:eastAsia="Cambria" w:hAnsi="Trebuchet MS"/>
          <w:sz w:val="24"/>
          <w:highlight w:val="white"/>
        </w:rPr>
        <w:t>th infrastructure decisions.</w:t>
      </w:r>
      <w:r w:rsidR="00D90E3B">
        <w:rPr>
          <w:rStyle w:val="FootnoteReference"/>
          <w:rFonts w:ascii="Trebuchet MS" w:eastAsia="Cambria" w:hAnsi="Trebuchet MS"/>
          <w:sz w:val="24"/>
          <w:highlight w:val="white"/>
        </w:rPr>
        <w:footnoteReference w:id="2"/>
      </w:r>
    </w:p>
    <w:p w14:paraId="668684C8" w14:textId="51A0D136" w:rsidR="00C47ADA" w:rsidRPr="00492095" w:rsidRDefault="00C47ADA" w:rsidP="00DA5AE3">
      <w:pPr>
        <w:pStyle w:val="Heading2"/>
        <w:spacing w:before="0" w:after="120" w:line="276" w:lineRule="auto"/>
        <w:rPr>
          <w:rFonts w:ascii="Trebuchet MS" w:hAnsi="Trebuchet MS" w:cs="Arial"/>
          <w:highlight w:val="white"/>
        </w:rPr>
      </w:pPr>
      <w:bookmarkStart w:id="3" w:name="_Toc266201038"/>
      <w:r w:rsidRPr="00492095">
        <w:rPr>
          <w:rFonts w:ascii="Trebuchet MS" w:hAnsi="Trebuchet MS" w:cs="Arial"/>
          <w:highlight w:val="white"/>
        </w:rPr>
        <w:t>Green infrastructure</w:t>
      </w:r>
      <w:bookmarkEnd w:id="3"/>
    </w:p>
    <w:p w14:paraId="3F991EA7" w14:textId="4F25DA11" w:rsidR="00B54EE0" w:rsidRPr="00492095" w:rsidRDefault="00B54EE0" w:rsidP="00DA5AE3">
      <w:pPr>
        <w:pStyle w:val="Normal1"/>
        <w:spacing w:after="120"/>
        <w:rPr>
          <w:rFonts w:ascii="Trebuchet MS" w:hAnsi="Trebuchet MS"/>
          <w:sz w:val="24"/>
        </w:rPr>
      </w:pPr>
      <w:r w:rsidRPr="00492095">
        <w:rPr>
          <w:rFonts w:ascii="Trebuchet MS" w:eastAsia="Cambria" w:hAnsi="Trebuchet MS"/>
          <w:sz w:val="24"/>
          <w:highlight w:val="white"/>
        </w:rPr>
        <w:t xml:space="preserve">The </w:t>
      </w:r>
      <w:r w:rsidR="00C47ADA" w:rsidRPr="00492095">
        <w:rPr>
          <w:rFonts w:ascii="Trebuchet MS" w:eastAsia="Cambria" w:hAnsi="Trebuchet MS"/>
          <w:sz w:val="24"/>
          <w:highlight w:val="white"/>
        </w:rPr>
        <w:t>City</w:t>
      </w:r>
      <w:r w:rsidRPr="00492095">
        <w:rPr>
          <w:rFonts w:ascii="Trebuchet MS" w:eastAsia="Cambria" w:hAnsi="Trebuchet MS"/>
          <w:sz w:val="24"/>
          <w:highlight w:val="white"/>
        </w:rPr>
        <w:t xml:space="preserve"> </w:t>
      </w:r>
      <w:r w:rsidR="009F5FC3" w:rsidRPr="00492095">
        <w:rPr>
          <w:rFonts w:ascii="Trebuchet MS" w:eastAsia="Cambria" w:hAnsi="Trebuchet MS"/>
          <w:sz w:val="24"/>
          <w:highlight w:val="white"/>
        </w:rPr>
        <w:t>is faced with the challenge of managing</w:t>
      </w:r>
      <w:r w:rsidRPr="00492095">
        <w:rPr>
          <w:rFonts w:ascii="Trebuchet MS" w:eastAsia="Cambria" w:hAnsi="Trebuchet MS"/>
          <w:sz w:val="24"/>
          <w:highlight w:val="white"/>
        </w:rPr>
        <w:t xml:space="preserve"> storm</w:t>
      </w:r>
      <w:r w:rsidR="00C47ADA" w:rsidRPr="00492095">
        <w:rPr>
          <w:rFonts w:ascii="Trebuchet MS" w:eastAsia="Cambria" w:hAnsi="Trebuchet MS"/>
          <w:sz w:val="24"/>
          <w:highlight w:val="white"/>
        </w:rPr>
        <w:t xml:space="preserve"> </w:t>
      </w:r>
      <w:r w:rsidR="009F5FC3" w:rsidRPr="00492095">
        <w:rPr>
          <w:rFonts w:ascii="Trebuchet MS" w:eastAsia="Cambria" w:hAnsi="Trebuchet MS"/>
          <w:sz w:val="24"/>
          <w:highlight w:val="white"/>
        </w:rPr>
        <w:t>water and, through that, protecting</w:t>
      </w:r>
      <w:r w:rsidRPr="00492095">
        <w:rPr>
          <w:rFonts w:ascii="Trebuchet MS" w:eastAsia="Cambria" w:hAnsi="Trebuchet MS"/>
          <w:sz w:val="24"/>
          <w:highlight w:val="white"/>
        </w:rPr>
        <w:t xml:space="preserve"> water quality in New York Harbor and its surrounding tributaries. </w:t>
      </w:r>
      <w:r w:rsidR="00D90E3B">
        <w:rPr>
          <w:rFonts w:ascii="Trebuchet MS" w:eastAsia="Cambria" w:hAnsi="Trebuchet MS"/>
          <w:sz w:val="24"/>
          <w:highlight w:val="white"/>
        </w:rPr>
        <w:t xml:space="preserve">More specifically, it wrestles with </w:t>
      </w:r>
      <w:r w:rsidR="00AF368E">
        <w:rPr>
          <w:rFonts w:ascii="Trebuchet MS" w:eastAsia="Cambria" w:hAnsi="Trebuchet MS"/>
          <w:sz w:val="24"/>
          <w:highlight w:val="white"/>
        </w:rPr>
        <w:t>the challenge of managing storm</w:t>
      </w:r>
      <w:r w:rsidR="008355C2">
        <w:rPr>
          <w:rFonts w:ascii="Trebuchet MS" w:eastAsia="Cambria" w:hAnsi="Trebuchet MS"/>
          <w:sz w:val="24"/>
          <w:highlight w:val="white"/>
        </w:rPr>
        <w:t xml:space="preserve"> </w:t>
      </w:r>
      <w:r w:rsidR="00AF368E">
        <w:rPr>
          <w:rFonts w:ascii="Trebuchet MS" w:eastAsia="Cambria" w:hAnsi="Trebuchet MS"/>
          <w:sz w:val="24"/>
          <w:highlight w:val="white"/>
        </w:rPr>
        <w:t>water better than in the past.</w:t>
      </w:r>
      <w:r w:rsidR="00D90E3B">
        <w:rPr>
          <w:rFonts w:ascii="Trebuchet MS" w:eastAsia="Cambria" w:hAnsi="Trebuchet MS"/>
          <w:sz w:val="24"/>
          <w:highlight w:val="white"/>
        </w:rPr>
        <w:t xml:space="preserve"> </w:t>
      </w:r>
      <w:r w:rsidRPr="00492095">
        <w:rPr>
          <w:rFonts w:ascii="Trebuchet MS" w:eastAsia="Cambria" w:hAnsi="Trebuchet MS"/>
          <w:sz w:val="24"/>
          <w:highlight w:val="white"/>
        </w:rPr>
        <w:t xml:space="preserve">In 2010, the city’s Department of Environmental Conservation </w:t>
      </w:r>
      <w:r w:rsidR="00AF368E">
        <w:rPr>
          <w:rFonts w:ascii="Trebuchet MS" w:eastAsia="Cambria" w:hAnsi="Trebuchet MS"/>
          <w:sz w:val="24"/>
          <w:highlight w:val="white"/>
        </w:rPr>
        <w:t>shared</w:t>
      </w:r>
      <w:r w:rsidRPr="00492095">
        <w:rPr>
          <w:rFonts w:ascii="Trebuchet MS" w:eastAsia="Cambria" w:hAnsi="Trebuchet MS"/>
          <w:sz w:val="24"/>
          <w:highlight w:val="white"/>
        </w:rPr>
        <w:t xml:space="preserve"> an aggressive strategy: it would use a number of different techniques to </w:t>
      </w:r>
      <w:r w:rsidR="00AF368E">
        <w:rPr>
          <w:rFonts w:ascii="Trebuchet MS" w:eastAsia="Cambria" w:hAnsi="Trebuchet MS"/>
          <w:sz w:val="24"/>
          <w:highlight w:val="white"/>
        </w:rPr>
        <w:t>divert</w:t>
      </w:r>
      <w:r w:rsidRPr="00492095">
        <w:rPr>
          <w:rFonts w:ascii="Trebuchet MS" w:eastAsia="Cambria" w:hAnsi="Trebuchet MS"/>
          <w:sz w:val="24"/>
          <w:highlight w:val="white"/>
        </w:rPr>
        <w:t xml:space="preserve"> storm</w:t>
      </w:r>
      <w:r w:rsidR="008355C2">
        <w:rPr>
          <w:rFonts w:ascii="Trebuchet MS" w:eastAsia="Cambria" w:hAnsi="Trebuchet MS"/>
          <w:sz w:val="24"/>
          <w:highlight w:val="white"/>
        </w:rPr>
        <w:t xml:space="preserve"> </w:t>
      </w:r>
      <w:r w:rsidRPr="00492095">
        <w:rPr>
          <w:rFonts w:ascii="Trebuchet MS" w:eastAsia="Cambria" w:hAnsi="Trebuchet MS"/>
          <w:sz w:val="24"/>
          <w:highlight w:val="white"/>
        </w:rPr>
        <w:t xml:space="preserve">water </w:t>
      </w:r>
      <w:r w:rsidR="00AF368E">
        <w:rPr>
          <w:rFonts w:ascii="Trebuchet MS" w:eastAsia="Cambria" w:hAnsi="Trebuchet MS"/>
          <w:sz w:val="24"/>
          <w:highlight w:val="white"/>
        </w:rPr>
        <w:t>away from</w:t>
      </w:r>
      <w:r w:rsidRPr="00492095">
        <w:rPr>
          <w:rFonts w:ascii="Trebuchet MS" w:eastAsia="Cambria" w:hAnsi="Trebuchet MS"/>
          <w:sz w:val="24"/>
          <w:highlight w:val="white"/>
        </w:rPr>
        <w:t xml:space="preserve"> </w:t>
      </w:r>
      <w:r w:rsidR="009F5FC3" w:rsidRPr="00492095">
        <w:rPr>
          <w:rFonts w:ascii="Trebuchet MS" w:eastAsia="Cambria" w:hAnsi="Trebuchet MS"/>
          <w:sz w:val="24"/>
          <w:highlight w:val="white"/>
        </w:rPr>
        <w:t>New York’s</w:t>
      </w:r>
      <w:r w:rsidRPr="00492095">
        <w:rPr>
          <w:rFonts w:ascii="Trebuchet MS" w:eastAsia="Cambria" w:hAnsi="Trebuchet MS"/>
          <w:sz w:val="24"/>
          <w:highlight w:val="white"/>
        </w:rPr>
        <w:t xml:space="preserve"> sewer sys</w:t>
      </w:r>
      <w:r w:rsidR="009F5FC3" w:rsidRPr="00492095">
        <w:rPr>
          <w:rFonts w:ascii="Trebuchet MS" w:eastAsia="Cambria" w:hAnsi="Trebuchet MS"/>
          <w:sz w:val="24"/>
          <w:highlight w:val="white"/>
        </w:rPr>
        <w:t>tem, a so-called “combined</w:t>
      </w:r>
      <w:r w:rsidRPr="00492095">
        <w:rPr>
          <w:rFonts w:ascii="Trebuchet MS" w:eastAsia="Cambria" w:hAnsi="Trebuchet MS"/>
          <w:sz w:val="24"/>
          <w:highlight w:val="white"/>
        </w:rPr>
        <w:t>” system that carries both sewage and rainwater to a handful of water treatment plants. Heavy rains</w:t>
      </w:r>
      <w:r w:rsidR="00624BDE">
        <w:rPr>
          <w:rFonts w:ascii="Trebuchet MS" w:eastAsia="Cambria" w:hAnsi="Trebuchet MS"/>
          <w:sz w:val="24"/>
          <w:highlight w:val="white"/>
        </w:rPr>
        <w:t xml:space="preserve"> </w:t>
      </w:r>
      <w:r w:rsidR="009F5FC3" w:rsidRPr="00492095">
        <w:rPr>
          <w:rFonts w:ascii="Trebuchet MS" w:eastAsia="Cambria" w:hAnsi="Trebuchet MS"/>
          <w:sz w:val="24"/>
          <w:highlight w:val="white"/>
        </w:rPr>
        <w:t>occasional</w:t>
      </w:r>
      <w:r w:rsidR="00624BDE">
        <w:rPr>
          <w:rFonts w:ascii="Trebuchet MS" w:eastAsia="Cambria" w:hAnsi="Trebuchet MS"/>
          <w:sz w:val="24"/>
          <w:highlight w:val="white"/>
        </w:rPr>
        <w:t>ly</w:t>
      </w:r>
      <w:r w:rsidR="009F5FC3" w:rsidRPr="00492095">
        <w:rPr>
          <w:rFonts w:ascii="Trebuchet MS" w:eastAsia="Cambria" w:hAnsi="Trebuchet MS"/>
          <w:sz w:val="24"/>
          <w:highlight w:val="white"/>
        </w:rPr>
        <w:t xml:space="preserve"> overwhelm the</w:t>
      </w:r>
      <w:r w:rsidRPr="00492095">
        <w:rPr>
          <w:rFonts w:ascii="Trebuchet MS" w:eastAsia="Cambria" w:hAnsi="Trebuchet MS"/>
          <w:sz w:val="24"/>
          <w:highlight w:val="white"/>
        </w:rPr>
        <w:t xml:space="preserve"> system during larger storms and</w:t>
      </w:r>
      <w:r w:rsidR="00624BDE">
        <w:rPr>
          <w:rFonts w:ascii="Trebuchet MS" w:eastAsia="Cambria" w:hAnsi="Trebuchet MS"/>
          <w:sz w:val="24"/>
          <w:highlight w:val="white"/>
        </w:rPr>
        <w:t xml:space="preserve"> can</w:t>
      </w:r>
      <w:r w:rsidRPr="00492095">
        <w:rPr>
          <w:rFonts w:ascii="Trebuchet MS" w:eastAsia="Cambria" w:hAnsi="Trebuchet MS"/>
          <w:sz w:val="24"/>
          <w:highlight w:val="white"/>
        </w:rPr>
        <w:t>, in t</w:t>
      </w:r>
      <w:r w:rsidR="009F5FC3" w:rsidRPr="00492095">
        <w:rPr>
          <w:rFonts w:ascii="Trebuchet MS" w:eastAsia="Cambria" w:hAnsi="Trebuchet MS"/>
          <w:sz w:val="24"/>
          <w:highlight w:val="white"/>
        </w:rPr>
        <w:t>he process, foul harbor water</w:t>
      </w:r>
      <w:r w:rsidRPr="00492095">
        <w:rPr>
          <w:rFonts w:ascii="Trebuchet MS" w:eastAsia="Cambria" w:hAnsi="Trebuchet MS"/>
          <w:sz w:val="24"/>
          <w:highlight w:val="white"/>
        </w:rPr>
        <w:t xml:space="preserve"> with </w:t>
      </w:r>
      <w:r w:rsidR="00624BDE">
        <w:rPr>
          <w:rFonts w:ascii="Trebuchet MS" w:eastAsia="Cambria" w:hAnsi="Trebuchet MS"/>
          <w:sz w:val="24"/>
          <w:highlight w:val="white"/>
        </w:rPr>
        <w:t xml:space="preserve">sewage. This has contributed </w:t>
      </w:r>
      <w:r w:rsidRPr="00492095">
        <w:rPr>
          <w:rFonts w:ascii="Trebuchet MS" w:eastAsia="Cambria" w:hAnsi="Trebuchet MS"/>
          <w:sz w:val="24"/>
          <w:highlight w:val="white"/>
        </w:rPr>
        <w:t xml:space="preserve">billions of gallons of sewage </w:t>
      </w:r>
      <w:r w:rsidR="00624BDE">
        <w:rPr>
          <w:rFonts w:ascii="Trebuchet MS" w:eastAsia="Cambria" w:hAnsi="Trebuchet MS"/>
          <w:sz w:val="24"/>
          <w:highlight w:val="white"/>
        </w:rPr>
        <w:t>entering the harbor on an average</w:t>
      </w:r>
      <w:r w:rsidRPr="00492095">
        <w:rPr>
          <w:rFonts w:ascii="Trebuchet MS" w:eastAsia="Cambria" w:hAnsi="Trebuchet MS"/>
          <w:sz w:val="24"/>
          <w:highlight w:val="white"/>
        </w:rPr>
        <w:t xml:space="preserve"> year, causing a public health hazard and compromising fragile ecosystems (Columbia, 2011). Administrators refer to these events as combined sewer overflows, or </w:t>
      </w:r>
      <w:proofErr w:type="spellStart"/>
      <w:r w:rsidRPr="00492095">
        <w:rPr>
          <w:rFonts w:ascii="Trebuchet MS" w:eastAsia="Cambria" w:hAnsi="Trebuchet MS"/>
          <w:sz w:val="24"/>
          <w:highlight w:val="white"/>
        </w:rPr>
        <w:t>CSOs</w:t>
      </w:r>
      <w:proofErr w:type="spellEnd"/>
      <w:r w:rsidRPr="00492095">
        <w:rPr>
          <w:rFonts w:ascii="Trebuchet MS" w:eastAsia="Cambria" w:hAnsi="Trebuchet MS"/>
          <w:sz w:val="24"/>
          <w:highlight w:val="white"/>
        </w:rPr>
        <w:t xml:space="preserve">. </w:t>
      </w:r>
    </w:p>
    <w:p w14:paraId="70E658E6" w14:textId="32AE43D5" w:rsidR="00B54EE0" w:rsidRPr="00492095" w:rsidRDefault="00B54EE0" w:rsidP="00DA5AE3">
      <w:pPr>
        <w:pStyle w:val="Normal1"/>
        <w:spacing w:after="120"/>
        <w:rPr>
          <w:rFonts w:ascii="Trebuchet MS" w:hAnsi="Trebuchet MS"/>
          <w:sz w:val="24"/>
        </w:rPr>
      </w:pPr>
      <w:r w:rsidRPr="00492095">
        <w:rPr>
          <w:rFonts w:ascii="Trebuchet MS" w:eastAsia="Cambria" w:hAnsi="Trebuchet MS"/>
          <w:sz w:val="24"/>
          <w:highlight w:val="white"/>
        </w:rPr>
        <w:t xml:space="preserve">The Department of Environmental </w:t>
      </w:r>
      <w:r w:rsidR="00866D16" w:rsidRPr="00492095">
        <w:rPr>
          <w:rFonts w:ascii="Trebuchet MS" w:eastAsia="Cambria" w:hAnsi="Trebuchet MS"/>
          <w:sz w:val="24"/>
          <w:highlight w:val="white"/>
        </w:rPr>
        <w:t>Protection</w:t>
      </w:r>
      <w:r w:rsidRPr="00492095">
        <w:rPr>
          <w:rFonts w:ascii="Trebuchet MS" w:eastAsia="Cambria" w:hAnsi="Trebuchet MS"/>
          <w:sz w:val="24"/>
          <w:highlight w:val="white"/>
        </w:rPr>
        <w:t xml:space="preserve"> (Environ</w:t>
      </w:r>
      <w:r w:rsidR="00866D16" w:rsidRPr="00492095">
        <w:rPr>
          <w:rFonts w:ascii="Trebuchet MS" w:eastAsia="Cambria" w:hAnsi="Trebuchet MS"/>
          <w:sz w:val="24"/>
          <w:highlight w:val="white"/>
        </w:rPr>
        <w:t>mental Protection</w:t>
      </w:r>
      <w:r w:rsidR="009F5FC3" w:rsidRPr="00492095">
        <w:rPr>
          <w:rFonts w:ascii="Trebuchet MS" w:eastAsia="Cambria" w:hAnsi="Trebuchet MS"/>
          <w:sz w:val="24"/>
          <w:highlight w:val="white"/>
        </w:rPr>
        <w:t>) plan — the</w:t>
      </w:r>
      <w:r w:rsidRPr="00492095">
        <w:rPr>
          <w:rFonts w:ascii="Trebuchet MS" w:eastAsia="Cambria" w:hAnsi="Trebuchet MS"/>
          <w:sz w:val="24"/>
          <w:highlight w:val="white"/>
        </w:rPr>
        <w:t xml:space="preserve"> 2010 </w:t>
      </w:r>
      <w:r w:rsidRPr="00492095">
        <w:rPr>
          <w:rFonts w:ascii="Trebuchet MS" w:eastAsia="Cambria" w:hAnsi="Trebuchet MS"/>
          <w:i/>
          <w:sz w:val="24"/>
          <w:highlight w:val="white"/>
        </w:rPr>
        <w:t>Green Infrastructure Plan</w:t>
      </w:r>
      <w:r w:rsidRPr="00492095">
        <w:rPr>
          <w:rFonts w:ascii="Trebuchet MS" w:eastAsia="Cambria" w:hAnsi="Trebuchet MS"/>
          <w:sz w:val="24"/>
          <w:highlight w:val="white"/>
        </w:rPr>
        <w:t xml:space="preserve"> — coincided roughly with a consent order, signed by both </w:t>
      </w:r>
      <w:r w:rsidR="00624BDE">
        <w:rPr>
          <w:rFonts w:ascii="Trebuchet MS" w:eastAsia="Cambria" w:hAnsi="Trebuchet MS"/>
          <w:sz w:val="24"/>
          <w:highlight w:val="white"/>
        </w:rPr>
        <w:t>C</w:t>
      </w:r>
      <w:r w:rsidRPr="00492095">
        <w:rPr>
          <w:rFonts w:ascii="Trebuchet MS" w:eastAsia="Cambria" w:hAnsi="Trebuchet MS"/>
          <w:sz w:val="24"/>
          <w:highlight w:val="white"/>
        </w:rPr>
        <w:t xml:space="preserve">ity and </w:t>
      </w:r>
      <w:r w:rsidR="00624BDE">
        <w:rPr>
          <w:rFonts w:ascii="Trebuchet MS" w:eastAsia="Cambria" w:hAnsi="Trebuchet MS"/>
          <w:sz w:val="24"/>
          <w:highlight w:val="white"/>
        </w:rPr>
        <w:t>S</w:t>
      </w:r>
      <w:r w:rsidRPr="00492095">
        <w:rPr>
          <w:rFonts w:ascii="Trebuchet MS" w:eastAsia="Cambria" w:hAnsi="Trebuchet MS"/>
          <w:sz w:val="24"/>
          <w:highlight w:val="white"/>
        </w:rPr>
        <w:t xml:space="preserve">tate environmental </w:t>
      </w:r>
      <w:proofErr w:type="gramStart"/>
      <w:r w:rsidRPr="00492095">
        <w:rPr>
          <w:rFonts w:ascii="Trebuchet MS" w:eastAsia="Cambria" w:hAnsi="Trebuchet MS"/>
          <w:sz w:val="24"/>
          <w:highlight w:val="white"/>
        </w:rPr>
        <w:t>authorities, that</w:t>
      </w:r>
      <w:proofErr w:type="gramEnd"/>
      <w:r w:rsidRPr="00492095">
        <w:rPr>
          <w:rFonts w:ascii="Trebuchet MS" w:eastAsia="Cambria" w:hAnsi="Trebuchet MS"/>
          <w:sz w:val="24"/>
          <w:highlight w:val="white"/>
        </w:rPr>
        <w:t xml:space="preserve"> required the </w:t>
      </w:r>
      <w:r w:rsidR="00624BDE">
        <w:rPr>
          <w:rFonts w:ascii="Trebuchet MS" w:eastAsia="Cambria" w:hAnsi="Trebuchet MS"/>
          <w:sz w:val="24"/>
          <w:highlight w:val="white"/>
        </w:rPr>
        <w:t>C</w:t>
      </w:r>
      <w:r w:rsidRPr="00492095">
        <w:rPr>
          <w:rFonts w:ascii="Trebuchet MS" w:eastAsia="Cambria" w:hAnsi="Trebuchet MS"/>
          <w:sz w:val="24"/>
          <w:highlight w:val="white"/>
        </w:rPr>
        <w:t xml:space="preserve">ity government to </w:t>
      </w:r>
      <w:r w:rsidR="009F5FC3" w:rsidRPr="00492095">
        <w:rPr>
          <w:rFonts w:ascii="Trebuchet MS" w:eastAsia="Cambria" w:hAnsi="Trebuchet MS"/>
          <w:sz w:val="24"/>
          <w:highlight w:val="white"/>
        </w:rPr>
        <w:t>significantly reduce</w:t>
      </w:r>
      <w:r w:rsidRPr="00492095">
        <w:rPr>
          <w:rFonts w:ascii="Trebuchet MS" w:eastAsia="Cambria" w:hAnsi="Trebuchet MS"/>
          <w:sz w:val="24"/>
          <w:highlight w:val="white"/>
        </w:rPr>
        <w:t xml:space="preserve"> combined sewer overflows</w:t>
      </w:r>
      <w:r w:rsidR="009F5FC3" w:rsidRPr="00492095">
        <w:rPr>
          <w:rFonts w:ascii="Trebuchet MS" w:eastAsia="Cambria" w:hAnsi="Trebuchet MS"/>
          <w:sz w:val="24"/>
          <w:highlight w:val="white"/>
        </w:rPr>
        <w:t xml:space="preserve"> or face penalties</w:t>
      </w:r>
      <w:r w:rsidRPr="00492095">
        <w:rPr>
          <w:rFonts w:ascii="Trebuchet MS" w:eastAsia="Cambria" w:hAnsi="Trebuchet MS"/>
          <w:sz w:val="24"/>
          <w:highlight w:val="white"/>
        </w:rPr>
        <w:t xml:space="preserve">. More specifically, it also set a target of capturing the first inch of rainfall </w:t>
      </w:r>
      <w:r w:rsidR="00624BDE">
        <w:rPr>
          <w:rFonts w:ascii="Trebuchet MS" w:eastAsia="Cambria" w:hAnsi="Trebuchet MS"/>
          <w:sz w:val="24"/>
          <w:highlight w:val="white"/>
        </w:rPr>
        <w:t>from</w:t>
      </w:r>
      <w:r w:rsidRPr="00492095">
        <w:rPr>
          <w:rFonts w:ascii="Trebuchet MS" w:eastAsia="Cambria" w:hAnsi="Trebuchet MS"/>
          <w:sz w:val="24"/>
          <w:highlight w:val="white"/>
        </w:rPr>
        <w:t xml:space="preserve"> impervious area</w:t>
      </w:r>
      <w:r w:rsidR="009F5FC3" w:rsidRPr="00492095">
        <w:rPr>
          <w:rFonts w:ascii="Trebuchet MS" w:eastAsia="Cambria" w:hAnsi="Trebuchet MS"/>
          <w:sz w:val="24"/>
          <w:highlight w:val="white"/>
        </w:rPr>
        <w:t>s</w:t>
      </w:r>
      <w:r w:rsidRPr="00492095">
        <w:rPr>
          <w:rFonts w:ascii="Trebuchet MS" w:eastAsia="Cambria" w:hAnsi="Trebuchet MS"/>
          <w:sz w:val="24"/>
          <w:highlight w:val="white"/>
        </w:rPr>
        <w:t xml:space="preserve"> within combine</w:t>
      </w:r>
      <w:r w:rsidR="009F5FC3" w:rsidRPr="00492095">
        <w:rPr>
          <w:rFonts w:ascii="Trebuchet MS" w:eastAsia="Cambria" w:hAnsi="Trebuchet MS"/>
          <w:sz w:val="24"/>
          <w:highlight w:val="white"/>
        </w:rPr>
        <w:t>d sewer watersheds during storm events (</w:t>
      </w:r>
      <w:proofErr w:type="spellStart"/>
      <w:r w:rsidR="00624BDE">
        <w:rPr>
          <w:rFonts w:ascii="Trebuchet MS" w:eastAsia="Cambria" w:hAnsi="Trebuchet MS"/>
          <w:sz w:val="24"/>
          <w:highlight w:val="white"/>
        </w:rPr>
        <w:t>DEP</w:t>
      </w:r>
      <w:proofErr w:type="spellEnd"/>
      <w:r w:rsidR="009F5FC3" w:rsidRPr="00492095">
        <w:rPr>
          <w:rFonts w:ascii="Trebuchet MS" w:eastAsia="Cambria" w:hAnsi="Trebuchet MS"/>
          <w:sz w:val="24"/>
          <w:highlight w:val="white"/>
        </w:rPr>
        <w:t>, 2010).</w:t>
      </w:r>
    </w:p>
    <w:p w14:paraId="264567DA" w14:textId="250A525E" w:rsidR="00117D7F" w:rsidRPr="00492095" w:rsidRDefault="009F5FC3" w:rsidP="00DA5AE3">
      <w:pPr>
        <w:pStyle w:val="Normal1"/>
        <w:spacing w:after="120"/>
        <w:rPr>
          <w:rFonts w:ascii="Trebuchet MS" w:eastAsia="Cambria" w:hAnsi="Trebuchet MS"/>
          <w:sz w:val="24"/>
        </w:rPr>
      </w:pPr>
      <w:r w:rsidRPr="00492095">
        <w:rPr>
          <w:rFonts w:ascii="Trebuchet MS" w:eastAsia="Cambria" w:hAnsi="Trebuchet MS"/>
          <w:sz w:val="24"/>
        </w:rPr>
        <w:lastRenderedPageBreak/>
        <w:t>The plan built atop previous approaches to storm</w:t>
      </w:r>
      <w:r w:rsidR="008355C2">
        <w:rPr>
          <w:rFonts w:ascii="Trebuchet MS" w:eastAsia="Cambria" w:hAnsi="Trebuchet MS"/>
          <w:sz w:val="24"/>
        </w:rPr>
        <w:t xml:space="preserve"> </w:t>
      </w:r>
      <w:r w:rsidRPr="00492095">
        <w:rPr>
          <w:rFonts w:ascii="Trebuchet MS" w:eastAsia="Cambria" w:hAnsi="Trebuchet MS"/>
          <w:sz w:val="24"/>
        </w:rPr>
        <w:t>water management</w:t>
      </w:r>
      <w:r w:rsidR="00624BDE">
        <w:rPr>
          <w:rFonts w:ascii="Trebuchet MS" w:eastAsia="Cambria" w:hAnsi="Trebuchet MS"/>
          <w:sz w:val="24"/>
        </w:rPr>
        <w:t xml:space="preserve"> that</w:t>
      </w:r>
      <w:r w:rsidRPr="00492095">
        <w:rPr>
          <w:rFonts w:ascii="Trebuchet MS" w:eastAsia="Cambria" w:hAnsi="Trebuchet MS"/>
          <w:sz w:val="24"/>
        </w:rPr>
        <w:t xml:space="preserve"> </w:t>
      </w:r>
      <w:r w:rsidR="00117D7F" w:rsidRPr="00492095">
        <w:rPr>
          <w:rFonts w:ascii="Trebuchet MS" w:eastAsia="Cambria" w:hAnsi="Trebuchet MS"/>
          <w:sz w:val="24"/>
        </w:rPr>
        <w:t>had centered on large and often expensive infrastructure projects</w:t>
      </w:r>
      <w:r w:rsidR="00624BDE">
        <w:rPr>
          <w:rFonts w:ascii="Trebuchet MS" w:eastAsia="Cambria" w:hAnsi="Trebuchet MS"/>
          <w:sz w:val="24"/>
        </w:rPr>
        <w:t>, built through traditional public engineering approaches,</w:t>
      </w:r>
      <w:r w:rsidR="00117D7F" w:rsidRPr="00492095">
        <w:rPr>
          <w:rFonts w:ascii="Trebuchet MS" w:eastAsia="Cambria" w:hAnsi="Trebuchet MS"/>
          <w:sz w:val="24"/>
        </w:rPr>
        <w:t xml:space="preserve"> targeted at reducing </w:t>
      </w:r>
      <w:proofErr w:type="spellStart"/>
      <w:r w:rsidR="00117D7F" w:rsidRPr="00492095">
        <w:rPr>
          <w:rFonts w:ascii="Trebuchet MS" w:eastAsia="Cambria" w:hAnsi="Trebuchet MS"/>
          <w:sz w:val="24"/>
        </w:rPr>
        <w:t>CSOs</w:t>
      </w:r>
      <w:proofErr w:type="spellEnd"/>
      <w:r w:rsidR="00117D7F" w:rsidRPr="00492095">
        <w:rPr>
          <w:rFonts w:ascii="Trebuchet MS" w:eastAsia="Cambria" w:hAnsi="Trebuchet MS"/>
          <w:sz w:val="24"/>
        </w:rPr>
        <w:t xml:space="preserve">. Those infrastructure projects, local officials had realized, could lack the “sustainability benefits” stakeholders had sought from major public investments. </w:t>
      </w:r>
      <w:r w:rsidR="00624BDE">
        <w:rPr>
          <w:rFonts w:ascii="Trebuchet MS" w:eastAsia="Cambria" w:hAnsi="Trebuchet MS"/>
          <w:sz w:val="24"/>
        </w:rPr>
        <w:t xml:space="preserve">Environmental Protection’s </w:t>
      </w:r>
      <w:r w:rsidR="00117D7F" w:rsidRPr="00492095">
        <w:rPr>
          <w:rFonts w:ascii="Trebuchet MS" w:eastAsia="Cambria" w:hAnsi="Trebuchet MS"/>
          <w:sz w:val="24"/>
        </w:rPr>
        <w:t xml:space="preserve">new plan presented: </w:t>
      </w:r>
    </w:p>
    <w:p w14:paraId="4AB8FCCC" w14:textId="5D7D70FE" w:rsidR="004B7F3A" w:rsidRPr="00492095" w:rsidRDefault="00117D7F" w:rsidP="00117D7F">
      <w:pPr>
        <w:pStyle w:val="Normal1"/>
        <w:spacing w:after="120"/>
        <w:ind w:left="720" w:right="720"/>
        <w:rPr>
          <w:rFonts w:ascii="Trebuchet MS" w:eastAsia="Cambria" w:hAnsi="Trebuchet MS"/>
          <w:i/>
          <w:color w:val="808080" w:themeColor="background1" w:themeShade="80"/>
          <w:sz w:val="24"/>
        </w:rPr>
      </w:pPr>
      <w:r w:rsidRPr="00492095">
        <w:rPr>
          <w:rFonts w:ascii="Trebuchet MS" w:eastAsia="Cambria" w:hAnsi="Trebuchet MS"/>
          <w:i/>
          <w:color w:val="808080" w:themeColor="background1" w:themeShade="80"/>
          <w:sz w:val="24"/>
        </w:rPr>
        <w:t>“[A]</w:t>
      </w:r>
      <w:r w:rsidR="004B7F3A" w:rsidRPr="00492095">
        <w:rPr>
          <w:rFonts w:ascii="Trebuchet MS" w:eastAsia="Cambria" w:hAnsi="Trebuchet MS"/>
          <w:i/>
          <w:color w:val="808080" w:themeColor="background1" w:themeShade="80"/>
          <w:sz w:val="24"/>
        </w:rPr>
        <w:t>n alternative approach to improving</w:t>
      </w:r>
      <w:r w:rsidRPr="00492095">
        <w:rPr>
          <w:rFonts w:ascii="Trebuchet MS" w:eastAsia="Cambria" w:hAnsi="Trebuchet MS"/>
          <w:i/>
          <w:color w:val="808080" w:themeColor="background1" w:themeShade="80"/>
          <w:sz w:val="24"/>
        </w:rPr>
        <w:t xml:space="preserve"> water quality that integrates ‘green infrastructure,’</w:t>
      </w:r>
      <w:r w:rsidR="004B7F3A" w:rsidRPr="00492095">
        <w:rPr>
          <w:rFonts w:ascii="Trebuchet MS" w:eastAsia="Cambria" w:hAnsi="Trebuchet MS"/>
          <w:i/>
          <w:color w:val="808080" w:themeColor="background1" w:themeShade="80"/>
          <w:sz w:val="24"/>
        </w:rPr>
        <w:t xml:space="preserve"> such as swales and green roofs, with investments to optimize the existing system and to</w:t>
      </w:r>
      <w:r w:rsidRPr="00492095">
        <w:rPr>
          <w:rFonts w:ascii="Trebuchet MS" w:eastAsia="Cambria" w:hAnsi="Trebuchet MS"/>
          <w:i/>
          <w:color w:val="808080" w:themeColor="background1" w:themeShade="80"/>
          <w:sz w:val="24"/>
        </w:rPr>
        <w:t xml:space="preserve"> build targeted, smaller-scale ‘grey’</w:t>
      </w:r>
      <w:r w:rsidR="004B7F3A" w:rsidRPr="00492095">
        <w:rPr>
          <w:rFonts w:ascii="Trebuchet MS" w:eastAsia="Cambria" w:hAnsi="Trebuchet MS"/>
          <w:i/>
          <w:color w:val="808080" w:themeColor="background1" w:themeShade="80"/>
          <w:sz w:val="24"/>
        </w:rPr>
        <w:t xml:space="preserve"> or traditional infrastructure.”</w:t>
      </w:r>
    </w:p>
    <w:p w14:paraId="4FED6C76" w14:textId="09FE604E" w:rsidR="00B54EE0" w:rsidRPr="00492095" w:rsidRDefault="00B54EE0" w:rsidP="00DA5AE3">
      <w:pPr>
        <w:pStyle w:val="Normal1"/>
        <w:spacing w:after="120"/>
        <w:rPr>
          <w:rFonts w:ascii="Trebuchet MS" w:hAnsi="Trebuchet MS"/>
          <w:sz w:val="24"/>
        </w:rPr>
      </w:pPr>
      <w:r w:rsidRPr="00492095">
        <w:rPr>
          <w:rFonts w:ascii="Trebuchet MS" w:eastAsia="Cambria" w:hAnsi="Trebuchet MS"/>
          <w:sz w:val="24"/>
          <w:highlight w:val="white"/>
        </w:rPr>
        <w:t xml:space="preserve">While the </w:t>
      </w:r>
      <w:r w:rsidR="00624BDE">
        <w:rPr>
          <w:rFonts w:ascii="Trebuchet MS" w:eastAsia="Cambria" w:hAnsi="Trebuchet MS"/>
          <w:sz w:val="24"/>
          <w:highlight w:val="white"/>
        </w:rPr>
        <w:t>Ci</w:t>
      </w:r>
      <w:r w:rsidRPr="00492095">
        <w:rPr>
          <w:rFonts w:ascii="Trebuchet MS" w:eastAsia="Cambria" w:hAnsi="Trebuchet MS"/>
          <w:sz w:val="24"/>
          <w:highlight w:val="white"/>
        </w:rPr>
        <w:t xml:space="preserve">ty has already made significant </w:t>
      </w:r>
      <w:r w:rsidR="00117D7F" w:rsidRPr="00492095">
        <w:rPr>
          <w:rFonts w:ascii="Trebuchet MS" w:eastAsia="Cambria" w:hAnsi="Trebuchet MS"/>
          <w:sz w:val="24"/>
          <w:highlight w:val="white"/>
        </w:rPr>
        <w:t xml:space="preserve">investments </w:t>
      </w:r>
      <w:r w:rsidR="008355C2">
        <w:rPr>
          <w:rFonts w:ascii="Trebuchet MS" w:eastAsia="Cambria" w:hAnsi="Trebuchet MS"/>
          <w:sz w:val="24"/>
          <w:highlight w:val="white"/>
        </w:rPr>
        <w:t>in</w:t>
      </w:r>
      <w:r w:rsidR="00117D7F" w:rsidRPr="00492095">
        <w:rPr>
          <w:rFonts w:ascii="Trebuchet MS" w:eastAsia="Cambria" w:hAnsi="Trebuchet MS"/>
          <w:sz w:val="24"/>
          <w:highlight w:val="white"/>
        </w:rPr>
        <w:t xml:space="preserve"> green infrastructure, it was</w:t>
      </w:r>
      <w:r w:rsidRPr="00492095">
        <w:rPr>
          <w:rFonts w:ascii="Trebuchet MS" w:eastAsia="Cambria" w:hAnsi="Trebuchet MS"/>
          <w:sz w:val="24"/>
          <w:highlight w:val="white"/>
        </w:rPr>
        <w:t xml:space="preserve"> positioned </w:t>
      </w:r>
      <w:r w:rsidR="00117D7F" w:rsidRPr="00492095">
        <w:rPr>
          <w:rFonts w:ascii="Trebuchet MS" w:eastAsia="Cambria" w:hAnsi="Trebuchet MS"/>
          <w:sz w:val="24"/>
          <w:highlight w:val="white"/>
        </w:rPr>
        <w:t xml:space="preserve">at the end of 2013 </w:t>
      </w:r>
      <w:r w:rsidRPr="00492095">
        <w:rPr>
          <w:rFonts w:ascii="Trebuchet MS" w:eastAsia="Cambria" w:hAnsi="Trebuchet MS"/>
          <w:sz w:val="24"/>
          <w:highlight w:val="white"/>
        </w:rPr>
        <w:t>for even more spending</w:t>
      </w:r>
      <w:r w:rsidR="00117D7F" w:rsidRPr="00492095">
        <w:rPr>
          <w:rFonts w:ascii="Trebuchet MS" w:eastAsia="Cambria" w:hAnsi="Trebuchet MS"/>
          <w:sz w:val="24"/>
          <w:highlight w:val="white"/>
        </w:rPr>
        <w:t>. Much would</w:t>
      </w:r>
      <w:r w:rsidRPr="00492095">
        <w:rPr>
          <w:rFonts w:ascii="Trebuchet MS" w:eastAsia="Cambria" w:hAnsi="Trebuchet MS"/>
          <w:sz w:val="24"/>
          <w:highlight w:val="white"/>
        </w:rPr>
        <w:t xml:space="preserve"> go </w:t>
      </w:r>
      <w:r w:rsidR="00624BDE">
        <w:rPr>
          <w:rFonts w:ascii="Trebuchet MS" w:eastAsia="Cambria" w:hAnsi="Trebuchet MS"/>
          <w:sz w:val="24"/>
          <w:highlight w:val="white"/>
        </w:rPr>
        <w:t xml:space="preserve">toward </w:t>
      </w:r>
      <w:r w:rsidRPr="00492095">
        <w:rPr>
          <w:rFonts w:ascii="Trebuchet MS" w:eastAsia="Cambria" w:hAnsi="Trebuchet MS"/>
          <w:sz w:val="24"/>
          <w:highlight w:val="white"/>
        </w:rPr>
        <w:t xml:space="preserve">the installation of </w:t>
      </w:r>
      <w:r w:rsidR="00624BDE">
        <w:rPr>
          <w:rFonts w:ascii="Trebuchet MS" w:eastAsia="Cambria" w:hAnsi="Trebuchet MS"/>
          <w:sz w:val="24"/>
          <w:highlight w:val="white"/>
        </w:rPr>
        <w:t xml:space="preserve">right-of-way </w:t>
      </w:r>
      <w:proofErr w:type="spellStart"/>
      <w:r w:rsidRPr="00492095">
        <w:rPr>
          <w:rFonts w:ascii="Trebuchet MS" w:eastAsia="Cambria" w:hAnsi="Trebuchet MS"/>
          <w:sz w:val="24"/>
          <w:highlight w:val="white"/>
        </w:rPr>
        <w:t>bioswales</w:t>
      </w:r>
      <w:proofErr w:type="spellEnd"/>
      <w:r w:rsidRPr="00492095">
        <w:rPr>
          <w:rFonts w:ascii="Trebuchet MS" w:eastAsia="Cambria" w:hAnsi="Trebuchet MS"/>
          <w:sz w:val="24"/>
          <w:highlight w:val="white"/>
        </w:rPr>
        <w:t xml:space="preserve"> across east</w:t>
      </w:r>
      <w:r w:rsidR="00624BDE">
        <w:rPr>
          <w:rFonts w:ascii="Trebuchet MS" w:eastAsia="Cambria" w:hAnsi="Trebuchet MS"/>
          <w:sz w:val="24"/>
          <w:highlight w:val="white"/>
        </w:rPr>
        <w:t>ern</w:t>
      </w:r>
      <w:r w:rsidRPr="00492095">
        <w:rPr>
          <w:rFonts w:ascii="Trebuchet MS" w:eastAsia="Cambria" w:hAnsi="Trebuchet MS"/>
          <w:sz w:val="24"/>
          <w:highlight w:val="white"/>
        </w:rPr>
        <w:t xml:space="preserve"> New York, work being l</w:t>
      </w:r>
      <w:r w:rsidR="00866D16" w:rsidRPr="00492095">
        <w:rPr>
          <w:rFonts w:ascii="Trebuchet MS" w:eastAsia="Cambria" w:hAnsi="Trebuchet MS"/>
          <w:sz w:val="24"/>
          <w:highlight w:val="white"/>
        </w:rPr>
        <w:t>ed by Environmental Protection</w:t>
      </w:r>
      <w:r w:rsidRPr="00492095">
        <w:rPr>
          <w:rFonts w:ascii="Trebuchet MS" w:eastAsia="Cambria" w:hAnsi="Trebuchet MS"/>
          <w:sz w:val="24"/>
          <w:highlight w:val="white"/>
        </w:rPr>
        <w:t xml:space="preserve">. </w:t>
      </w:r>
      <w:r w:rsidR="008355C2">
        <w:rPr>
          <w:rFonts w:ascii="Trebuchet MS" w:eastAsia="Cambria" w:hAnsi="Trebuchet MS"/>
          <w:sz w:val="24"/>
          <w:highlight w:val="white"/>
        </w:rPr>
        <w:t xml:space="preserve">Right-of-way </w:t>
      </w:r>
      <w:proofErr w:type="spellStart"/>
      <w:r w:rsidR="008355C2">
        <w:rPr>
          <w:rFonts w:ascii="Trebuchet MS" w:eastAsia="Cambria" w:hAnsi="Trebuchet MS"/>
          <w:sz w:val="24"/>
          <w:highlight w:val="white"/>
        </w:rPr>
        <w:t>b</w:t>
      </w:r>
      <w:r w:rsidRPr="00492095">
        <w:rPr>
          <w:rFonts w:ascii="Trebuchet MS" w:eastAsia="Cambria" w:hAnsi="Trebuchet MS"/>
          <w:sz w:val="24"/>
          <w:highlight w:val="white"/>
        </w:rPr>
        <w:t>ioswales</w:t>
      </w:r>
      <w:proofErr w:type="spellEnd"/>
      <w:r w:rsidRPr="00492095">
        <w:rPr>
          <w:rFonts w:ascii="Trebuchet MS" w:eastAsia="Cambria" w:hAnsi="Trebuchet MS"/>
          <w:sz w:val="24"/>
          <w:highlight w:val="white"/>
        </w:rPr>
        <w:t xml:space="preserve"> are vegetated pits built </w:t>
      </w:r>
      <w:r w:rsidR="00624BDE">
        <w:rPr>
          <w:rFonts w:ascii="Trebuchet MS" w:eastAsia="Cambria" w:hAnsi="Trebuchet MS"/>
          <w:sz w:val="24"/>
          <w:highlight w:val="white"/>
        </w:rPr>
        <w:t>at</w:t>
      </w:r>
      <w:r w:rsidRPr="00492095">
        <w:rPr>
          <w:rFonts w:ascii="Trebuchet MS" w:eastAsia="Cambria" w:hAnsi="Trebuchet MS"/>
          <w:sz w:val="24"/>
          <w:highlight w:val="white"/>
        </w:rPr>
        <w:t xml:space="preserve"> </w:t>
      </w:r>
      <w:r w:rsidR="00624BDE">
        <w:rPr>
          <w:rFonts w:ascii="Trebuchet MS" w:eastAsia="Cambria" w:hAnsi="Trebuchet MS"/>
          <w:sz w:val="24"/>
          <w:highlight w:val="white"/>
        </w:rPr>
        <w:t>relatively low elevations</w:t>
      </w:r>
      <w:r w:rsidR="00117D7F" w:rsidRPr="00492095">
        <w:rPr>
          <w:rFonts w:ascii="Trebuchet MS" w:eastAsia="Cambria" w:hAnsi="Trebuchet MS"/>
          <w:sz w:val="24"/>
          <w:highlight w:val="white"/>
        </w:rPr>
        <w:t xml:space="preserve"> </w:t>
      </w:r>
      <w:r w:rsidRPr="00492095">
        <w:rPr>
          <w:rFonts w:ascii="Trebuchet MS" w:eastAsia="Cambria" w:hAnsi="Trebuchet MS"/>
          <w:sz w:val="24"/>
          <w:highlight w:val="white"/>
        </w:rPr>
        <w:t>that collect and re</w:t>
      </w:r>
      <w:r w:rsidR="00117D7F" w:rsidRPr="00492095">
        <w:rPr>
          <w:rFonts w:ascii="Trebuchet MS" w:eastAsia="Cambria" w:hAnsi="Trebuchet MS"/>
          <w:sz w:val="24"/>
          <w:highlight w:val="white"/>
        </w:rPr>
        <w:t>tain storm water flowing along adjacent curbs.</w:t>
      </w:r>
    </w:p>
    <w:p w14:paraId="6266BCE9" w14:textId="785F9DDC" w:rsidR="00B54EE0" w:rsidRDefault="00B54EE0" w:rsidP="00DA5AE3">
      <w:pPr>
        <w:pStyle w:val="Normal1"/>
        <w:spacing w:after="120"/>
        <w:rPr>
          <w:rFonts w:ascii="Trebuchet MS" w:eastAsia="Cambria" w:hAnsi="Trebuchet MS"/>
          <w:sz w:val="24"/>
        </w:rPr>
      </w:pPr>
      <w:r w:rsidRPr="00492095">
        <w:rPr>
          <w:rFonts w:ascii="Trebuchet MS" w:eastAsia="Cambria" w:hAnsi="Trebuchet MS"/>
          <w:sz w:val="24"/>
          <w:highlight w:val="white"/>
        </w:rPr>
        <w:t xml:space="preserve">The </w:t>
      </w:r>
      <w:r w:rsidR="00117D7F" w:rsidRPr="00492095">
        <w:rPr>
          <w:rFonts w:ascii="Trebuchet MS" w:eastAsia="Cambria" w:hAnsi="Trebuchet MS"/>
          <w:sz w:val="24"/>
          <w:highlight w:val="white"/>
        </w:rPr>
        <w:t>New York City</w:t>
      </w:r>
      <w:r w:rsidRPr="00492095">
        <w:rPr>
          <w:rFonts w:ascii="Trebuchet MS" w:eastAsia="Cambria" w:hAnsi="Trebuchet MS"/>
          <w:sz w:val="24"/>
          <w:highlight w:val="white"/>
        </w:rPr>
        <w:t xml:space="preserve"> Department of Transportation </w:t>
      </w:r>
      <w:r w:rsidR="00117D7F" w:rsidRPr="00492095">
        <w:rPr>
          <w:rFonts w:ascii="Trebuchet MS" w:eastAsia="Cambria" w:hAnsi="Trebuchet MS"/>
          <w:sz w:val="24"/>
          <w:highlight w:val="white"/>
        </w:rPr>
        <w:t xml:space="preserve">(Transportation Department) </w:t>
      </w:r>
      <w:r w:rsidRPr="00492095">
        <w:rPr>
          <w:rFonts w:ascii="Trebuchet MS" w:eastAsia="Cambria" w:hAnsi="Trebuchet MS"/>
          <w:sz w:val="24"/>
          <w:highlight w:val="white"/>
        </w:rPr>
        <w:t>is, along similar</w:t>
      </w:r>
      <w:r w:rsidR="00117D7F" w:rsidRPr="00492095">
        <w:rPr>
          <w:rFonts w:ascii="Trebuchet MS" w:eastAsia="Cambria" w:hAnsi="Trebuchet MS"/>
          <w:sz w:val="24"/>
          <w:highlight w:val="white"/>
        </w:rPr>
        <w:t xml:space="preserve"> lines</w:t>
      </w:r>
      <w:r w:rsidRPr="00492095">
        <w:rPr>
          <w:rFonts w:ascii="Trebuchet MS" w:eastAsia="Cambria" w:hAnsi="Trebuchet MS"/>
          <w:sz w:val="24"/>
          <w:highlight w:val="white"/>
        </w:rPr>
        <w:t xml:space="preserve">, installing permeable pavement </w:t>
      </w:r>
      <w:r w:rsidR="00624BDE">
        <w:rPr>
          <w:rFonts w:ascii="Trebuchet MS" w:eastAsia="Cambria" w:hAnsi="Trebuchet MS"/>
          <w:sz w:val="24"/>
          <w:highlight w:val="white"/>
        </w:rPr>
        <w:t xml:space="preserve">at </w:t>
      </w:r>
      <w:r w:rsidRPr="00492095">
        <w:rPr>
          <w:rFonts w:ascii="Trebuchet MS" w:eastAsia="Cambria" w:hAnsi="Trebuchet MS"/>
          <w:sz w:val="24"/>
          <w:highlight w:val="white"/>
        </w:rPr>
        <w:t xml:space="preserve">a handful of </w:t>
      </w:r>
      <w:r w:rsidR="002B12C6">
        <w:rPr>
          <w:rFonts w:ascii="Trebuchet MS" w:eastAsia="Cambria" w:hAnsi="Trebuchet MS"/>
          <w:sz w:val="24"/>
          <w:highlight w:val="white"/>
        </w:rPr>
        <w:t xml:space="preserve">right of way </w:t>
      </w:r>
      <w:r w:rsidRPr="00492095">
        <w:rPr>
          <w:rFonts w:ascii="Trebuchet MS" w:eastAsia="Cambria" w:hAnsi="Trebuchet MS"/>
          <w:sz w:val="24"/>
          <w:highlight w:val="white"/>
        </w:rPr>
        <w:t xml:space="preserve">locations. </w:t>
      </w:r>
      <w:r w:rsidR="002B12C6">
        <w:rPr>
          <w:rFonts w:ascii="Trebuchet MS" w:eastAsia="Cambria" w:hAnsi="Trebuchet MS"/>
          <w:sz w:val="24"/>
          <w:highlight w:val="white"/>
        </w:rPr>
        <w:t>The installations</w:t>
      </w:r>
      <w:r w:rsidRPr="00492095">
        <w:rPr>
          <w:rFonts w:ascii="Trebuchet MS" w:eastAsia="Cambria" w:hAnsi="Trebuchet MS"/>
          <w:sz w:val="24"/>
          <w:highlight w:val="white"/>
        </w:rPr>
        <w:t xml:space="preserve"> </w:t>
      </w:r>
      <w:r w:rsidR="002B12C6">
        <w:rPr>
          <w:rFonts w:ascii="Trebuchet MS" w:eastAsia="Cambria" w:hAnsi="Trebuchet MS"/>
          <w:sz w:val="24"/>
          <w:highlight w:val="white"/>
        </w:rPr>
        <w:t xml:space="preserve">function not unlike, </w:t>
      </w:r>
      <w:r w:rsidR="008355C2">
        <w:rPr>
          <w:rFonts w:ascii="Trebuchet MS" w:eastAsia="Cambria" w:hAnsi="Trebuchet MS"/>
          <w:sz w:val="24"/>
          <w:highlight w:val="white"/>
        </w:rPr>
        <w:t>albeit not precisely</w:t>
      </w:r>
      <w:r w:rsidR="002B12C6">
        <w:rPr>
          <w:rFonts w:ascii="Trebuchet MS" w:eastAsia="Cambria" w:hAnsi="Trebuchet MS"/>
          <w:sz w:val="24"/>
          <w:highlight w:val="white"/>
        </w:rPr>
        <w:t xml:space="preserve"> the same as, a right-of-way </w:t>
      </w:r>
      <w:proofErr w:type="spellStart"/>
      <w:r w:rsidR="002B12C6">
        <w:rPr>
          <w:rFonts w:ascii="Trebuchet MS" w:eastAsia="Cambria" w:hAnsi="Trebuchet MS"/>
          <w:sz w:val="24"/>
          <w:highlight w:val="white"/>
        </w:rPr>
        <w:t>bioswale</w:t>
      </w:r>
      <w:proofErr w:type="spellEnd"/>
      <w:r w:rsidR="002B12C6">
        <w:rPr>
          <w:rFonts w:ascii="Trebuchet MS" w:eastAsia="Cambria" w:hAnsi="Trebuchet MS"/>
          <w:sz w:val="24"/>
          <w:highlight w:val="white"/>
        </w:rPr>
        <w:t xml:space="preserve">, </w:t>
      </w:r>
      <w:r w:rsidRPr="00492095">
        <w:rPr>
          <w:rFonts w:ascii="Trebuchet MS" w:eastAsia="Cambria" w:hAnsi="Trebuchet MS"/>
          <w:sz w:val="24"/>
          <w:highlight w:val="white"/>
        </w:rPr>
        <w:t>work</w:t>
      </w:r>
      <w:r w:rsidR="002B12C6">
        <w:rPr>
          <w:rFonts w:ascii="Trebuchet MS" w:eastAsia="Cambria" w:hAnsi="Trebuchet MS"/>
          <w:sz w:val="24"/>
          <w:highlight w:val="white"/>
        </w:rPr>
        <w:t>ing</w:t>
      </w:r>
      <w:r w:rsidRPr="00492095">
        <w:rPr>
          <w:rFonts w:ascii="Trebuchet MS" w:eastAsia="Cambria" w:hAnsi="Trebuchet MS"/>
          <w:sz w:val="24"/>
          <w:highlight w:val="white"/>
        </w:rPr>
        <w:t xml:space="preserve"> somewhat </w:t>
      </w:r>
      <w:r w:rsidR="008355C2">
        <w:rPr>
          <w:rFonts w:ascii="Trebuchet MS" w:eastAsia="Cambria" w:hAnsi="Trebuchet MS"/>
          <w:sz w:val="24"/>
          <w:highlight w:val="white"/>
        </w:rPr>
        <w:t>as</w:t>
      </w:r>
      <w:r w:rsidRPr="00492095">
        <w:rPr>
          <w:rFonts w:ascii="Trebuchet MS" w:eastAsia="Cambria" w:hAnsi="Trebuchet MS"/>
          <w:sz w:val="24"/>
          <w:highlight w:val="white"/>
        </w:rPr>
        <w:t xml:space="preserve"> a sieve — otherwise-standard asphalt or concrete is designed t</w:t>
      </w:r>
      <w:r w:rsidR="00117D7F" w:rsidRPr="00492095">
        <w:rPr>
          <w:rFonts w:ascii="Trebuchet MS" w:eastAsia="Cambria" w:hAnsi="Trebuchet MS"/>
          <w:sz w:val="24"/>
          <w:highlight w:val="white"/>
        </w:rPr>
        <w:t>o accommodate small holes that</w:t>
      </w:r>
      <w:r w:rsidRPr="00492095">
        <w:rPr>
          <w:rFonts w:ascii="Trebuchet MS" w:eastAsia="Cambria" w:hAnsi="Trebuchet MS"/>
          <w:sz w:val="24"/>
          <w:highlight w:val="white"/>
        </w:rPr>
        <w:t xml:space="preserve"> </w:t>
      </w:r>
      <w:r w:rsidR="002B12C6">
        <w:rPr>
          <w:rFonts w:ascii="Trebuchet MS" w:eastAsia="Cambria" w:hAnsi="Trebuchet MS"/>
          <w:sz w:val="24"/>
          <w:highlight w:val="white"/>
        </w:rPr>
        <w:t>let</w:t>
      </w:r>
      <w:r w:rsidRPr="00492095">
        <w:rPr>
          <w:rFonts w:ascii="Trebuchet MS" w:eastAsia="Cambria" w:hAnsi="Trebuchet MS"/>
          <w:sz w:val="24"/>
          <w:highlight w:val="white"/>
        </w:rPr>
        <w:t xml:space="preserve"> storm</w:t>
      </w:r>
      <w:r w:rsidR="00117D7F" w:rsidRPr="00492095">
        <w:rPr>
          <w:rFonts w:ascii="Trebuchet MS" w:eastAsia="Cambria" w:hAnsi="Trebuchet MS"/>
          <w:sz w:val="24"/>
          <w:highlight w:val="white"/>
        </w:rPr>
        <w:t xml:space="preserve"> </w:t>
      </w:r>
      <w:r w:rsidRPr="00492095">
        <w:rPr>
          <w:rFonts w:ascii="Trebuchet MS" w:eastAsia="Cambria" w:hAnsi="Trebuchet MS"/>
          <w:sz w:val="24"/>
          <w:highlight w:val="white"/>
        </w:rPr>
        <w:t xml:space="preserve">water </w:t>
      </w:r>
      <w:r w:rsidR="00117D7F" w:rsidRPr="00492095">
        <w:rPr>
          <w:rFonts w:ascii="Trebuchet MS" w:eastAsia="Cambria" w:hAnsi="Trebuchet MS"/>
          <w:sz w:val="24"/>
          <w:highlight w:val="white"/>
        </w:rPr>
        <w:t>drain through (Columbia, 2011).</w:t>
      </w:r>
      <w:r w:rsidR="00117D7F" w:rsidRPr="00492095">
        <w:rPr>
          <w:rFonts w:ascii="Trebuchet MS" w:eastAsia="Cambria" w:hAnsi="Trebuchet MS"/>
          <w:sz w:val="24"/>
        </w:rPr>
        <w:t xml:space="preserve"> The Transportation Department has sought federal aid for green infrastructure pavement projects that would help the City meet its goal of capturing 10 percent of storm water on impervious surfaces in combined sewer overflow areas. </w:t>
      </w:r>
    </w:p>
    <w:p w14:paraId="5E722C09" w14:textId="77777777" w:rsidR="003A0CD0" w:rsidRPr="00492095" w:rsidRDefault="003A0CD0" w:rsidP="00DA5AE3">
      <w:pPr>
        <w:pStyle w:val="Normal1"/>
        <w:spacing w:after="120"/>
        <w:rPr>
          <w:rFonts w:ascii="Trebuchet MS" w:hAnsi="Trebuchet MS"/>
          <w:sz w:val="24"/>
        </w:rPr>
      </w:pPr>
    </w:p>
    <w:p w14:paraId="772E9B5B" w14:textId="77777777" w:rsidR="00B54EE0" w:rsidRPr="00492095" w:rsidRDefault="00B54EE0" w:rsidP="00DA5AE3">
      <w:pPr>
        <w:pStyle w:val="Heading1"/>
        <w:spacing w:before="0" w:after="120" w:line="276" w:lineRule="auto"/>
        <w:rPr>
          <w:rFonts w:ascii="Trebuchet MS" w:hAnsi="Trebuchet MS" w:cs="Arial"/>
        </w:rPr>
      </w:pPr>
      <w:bookmarkStart w:id="4" w:name="_Toc266201039"/>
      <w:r w:rsidRPr="00492095">
        <w:rPr>
          <w:rFonts w:ascii="Trebuchet MS" w:hAnsi="Trebuchet MS" w:cs="Arial"/>
          <w:highlight w:val="white"/>
        </w:rPr>
        <w:t>Methods</w:t>
      </w:r>
      <w:bookmarkEnd w:id="4"/>
    </w:p>
    <w:p w14:paraId="2048B9CA" w14:textId="01AC3EBC" w:rsidR="00117D7F" w:rsidRPr="00492095" w:rsidRDefault="00B54EE0" w:rsidP="00DA5AE3">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t xml:space="preserve">This research project </w:t>
      </w:r>
      <w:r w:rsidR="00117D7F" w:rsidRPr="00492095">
        <w:rPr>
          <w:rFonts w:ascii="Trebuchet MS" w:eastAsia="Cambria" w:hAnsi="Trebuchet MS"/>
          <w:sz w:val="24"/>
          <w:highlight w:val="white"/>
        </w:rPr>
        <w:t>prepares budget analysts to better compare</w:t>
      </w:r>
      <w:r w:rsidRPr="00492095">
        <w:rPr>
          <w:rFonts w:ascii="Trebuchet MS" w:eastAsia="Cambria" w:hAnsi="Trebuchet MS"/>
          <w:sz w:val="24"/>
          <w:highlight w:val="white"/>
        </w:rPr>
        <w:t xml:space="preserve"> </w:t>
      </w:r>
      <w:proofErr w:type="spellStart"/>
      <w:r w:rsidRPr="00492095">
        <w:rPr>
          <w:rFonts w:ascii="Trebuchet MS" w:eastAsia="Cambria" w:hAnsi="Trebuchet MS"/>
          <w:sz w:val="24"/>
          <w:highlight w:val="white"/>
        </w:rPr>
        <w:t>bi</w:t>
      </w:r>
      <w:r w:rsidR="00117D7F" w:rsidRPr="00492095">
        <w:rPr>
          <w:rFonts w:ascii="Trebuchet MS" w:eastAsia="Cambria" w:hAnsi="Trebuchet MS"/>
          <w:sz w:val="24"/>
          <w:highlight w:val="white"/>
        </w:rPr>
        <w:t>oswales</w:t>
      </w:r>
      <w:proofErr w:type="spellEnd"/>
      <w:r w:rsidR="00117D7F" w:rsidRPr="00492095">
        <w:rPr>
          <w:rFonts w:ascii="Trebuchet MS" w:eastAsia="Cambria" w:hAnsi="Trebuchet MS"/>
          <w:sz w:val="24"/>
          <w:highlight w:val="white"/>
        </w:rPr>
        <w:t xml:space="preserve"> and permeable pavement projects i</w:t>
      </w:r>
      <w:r w:rsidRPr="00492095">
        <w:rPr>
          <w:rFonts w:ascii="Trebuchet MS" w:eastAsia="Cambria" w:hAnsi="Trebuchet MS"/>
          <w:sz w:val="24"/>
          <w:highlight w:val="white"/>
        </w:rPr>
        <w:t>n New York City</w:t>
      </w:r>
      <w:r w:rsidR="00117D7F" w:rsidRPr="00492095">
        <w:rPr>
          <w:rFonts w:ascii="Trebuchet MS" w:eastAsia="Cambria" w:hAnsi="Trebuchet MS"/>
          <w:sz w:val="24"/>
          <w:highlight w:val="white"/>
        </w:rPr>
        <w:t xml:space="preserve"> on the bases of:</w:t>
      </w:r>
    </w:p>
    <w:p w14:paraId="5A91FFEE" w14:textId="1FC0C5EA" w:rsidR="00117D7F" w:rsidRPr="00492095" w:rsidRDefault="00117D7F" w:rsidP="00117D7F">
      <w:pPr>
        <w:pStyle w:val="Normal1"/>
        <w:numPr>
          <w:ilvl w:val="0"/>
          <w:numId w:val="1"/>
        </w:numPr>
        <w:spacing w:after="120"/>
        <w:rPr>
          <w:rFonts w:ascii="Trebuchet MS" w:hAnsi="Trebuchet MS"/>
          <w:sz w:val="24"/>
        </w:rPr>
      </w:pPr>
      <w:r w:rsidRPr="00492095">
        <w:rPr>
          <w:rFonts w:ascii="Trebuchet MS" w:eastAsia="Cambria" w:hAnsi="Trebuchet MS"/>
          <w:sz w:val="24"/>
          <w:highlight w:val="white"/>
        </w:rPr>
        <w:t xml:space="preserve">Cost, both up front and over time, and; </w:t>
      </w:r>
    </w:p>
    <w:p w14:paraId="6EB5734B" w14:textId="77777777" w:rsidR="00117D7F" w:rsidRPr="00492095" w:rsidRDefault="00117D7F" w:rsidP="00117D7F">
      <w:pPr>
        <w:pStyle w:val="Normal1"/>
        <w:numPr>
          <w:ilvl w:val="0"/>
          <w:numId w:val="1"/>
        </w:numPr>
        <w:spacing w:after="120"/>
        <w:rPr>
          <w:rFonts w:ascii="Trebuchet MS" w:hAnsi="Trebuchet MS"/>
          <w:sz w:val="24"/>
        </w:rPr>
      </w:pPr>
      <w:r w:rsidRPr="00492095">
        <w:rPr>
          <w:rFonts w:ascii="Trebuchet MS" w:eastAsia="Cambria" w:hAnsi="Trebuchet MS"/>
          <w:sz w:val="24"/>
          <w:highlight w:val="white"/>
        </w:rPr>
        <w:t>Efficiency</w:t>
      </w:r>
      <w:r w:rsidR="00B54EE0" w:rsidRPr="00492095">
        <w:rPr>
          <w:rFonts w:ascii="Trebuchet MS" w:eastAsia="Cambria" w:hAnsi="Trebuchet MS"/>
          <w:sz w:val="24"/>
          <w:highlight w:val="white"/>
        </w:rPr>
        <w:t xml:space="preserve">. </w:t>
      </w:r>
    </w:p>
    <w:p w14:paraId="520AE60C" w14:textId="1AB58CD8" w:rsidR="00B54EE0" w:rsidRPr="00492095" w:rsidRDefault="00B54EE0" w:rsidP="00117D7F">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t>Specifically</w:t>
      </w:r>
      <w:r w:rsidR="001776A6" w:rsidRPr="00492095">
        <w:rPr>
          <w:rFonts w:ascii="Trebuchet MS" w:eastAsia="Cambria" w:hAnsi="Trebuchet MS"/>
          <w:sz w:val="24"/>
          <w:highlight w:val="white"/>
        </w:rPr>
        <w:t>, it positions budget analysis to conduct</w:t>
      </w:r>
      <w:r w:rsidRPr="00492095">
        <w:rPr>
          <w:rFonts w:ascii="Trebuchet MS" w:eastAsia="Cambria" w:hAnsi="Trebuchet MS"/>
          <w:sz w:val="24"/>
          <w:highlight w:val="white"/>
        </w:rPr>
        <w:t xml:space="preserve"> cost-effectiveness analysis</w:t>
      </w:r>
      <w:r w:rsidR="001776A6" w:rsidRPr="00492095">
        <w:rPr>
          <w:rFonts w:ascii="Trebuchet MS" w:eastAsia="Cambria" w:hAnsi="Trebuchet MS"/>
          <w:sz w:val="24"/>
          <w:highlight w:val="white"/>
        </w:rPr>
        <w:t xml:space="preserve"> (</w:t>
      </w:r>
      <w:proofErr w:type="spellStart"/>
      <w:r w:rsidR="001776A6" w:rsidRPr="00492095">
        <w:rPr>
          <w:rFonts w:ascii="Trebuchet MS" w:eastAsia="Cambria" w:hAnsi="Trebuchet MS"/>
          <w:sz w:val="24"/>
          <w:highlight w:val="white"/>
        </w:rPr>
        <w:t>CEA</w:t>
      </w:r>
      <w:proofErr w:type="spellEnd"/>
      <w:r w:rsidR="001776A6" w:rsidRPr="00492095">
        <w:rPr>
          <w:rFonts w:ascii="Trebuchet MS" w:eastAsia="Cambria" w:hAnsi="Trebuchet MS"/>
          <w:sz w:val="24"/>
          <w:highlight w:val="white"/>
        </w:rPr>
        <w:t xml:space="preserve">), an </w:t>
      </w:r>
      <w:r w:rsidR="00A81A5A">
        <w:rPr>
          <w:rFonts w:ascii="Trebuchet MS" w:eastAsia="Cambria" w:hAnsi="Trebuchet MS"/>
          <w:sz w:val="24"/>
          <w:highlight w:val="white"/>
        </w:rPr>
        <w:t>analytical step similar to</w:t>
      </w:r>
      <w:r w:rsidR="00A81A5A" w:rsidRPr="00492095">
        <w:rPr>
          <w:rFonts w:ascii="Trebuchet MS" w:eastAsia="Cambria" w:hAnsi="Trebuchet MS"/>
          <w:sz w:val="24"/>
          <w:highlight w:val="white"/>
        </w:rPr>
        <w:t xml:space="preserve"> </w:t>
      </w:r>
      <w:r w:rsidR="001776A6" w:rsidRPr="00492095">
        <w:rPr>
          <w:rFonts w:ascii="Trebuchet MS" w:eastAsia="Cambria" w:hAnsi="Trebuchet MS"/>
          <w:sz w:val="24"/>
          <w:highlight w:val="white"/>
        </w:rPr>
        <w:t>cost-benefit analysis</w:t>
      </w:r>
      <w:r w:rsidRPr="00492095">
        <w:rPr>
          <w:rFonts w:ascii="Trebuchet MS" w:eastAsia="Cambria" w:hAnsi="Trebuchet MS"/>
          <w:sz w:val="24"/>
          <w:highlight w:val="white"/>
        </w:rPr>
        <w:t xml:space="preserve">. A standard format would hold the benefits of each alternative </w:t>
      </w:r>
      <w:r w:rsidR="00A81A5A">
        <w:rPr>
          <w:rFonts w:ascii="Trebuchet MS" w:eastAsia="Cambria" w:hAnsi="Trebuchet MS"/>
          <w:sz w:val="24"/>
          <w:highlight w:val="white"/>
        </w:rPr>
        <w:t>equal</w:t>
      </w:r>
      <w:r w:rsidRPr="00492095">
        <w:rPr>
          <w:rFonts w:ascii="Trebuchet MS" w:eastAsia="Cambria" w:hAnsi="Trebuchet MS"/>
          <w:sz w:val="24"/>
          <w:highlight w:val="white"/>
        </w:rPr>
        <w:t xml:space="preserve"> and then compare their </w:t>
      </w:r>
      <w:r w:rsidR="00A81A5A">
        <w:rPr>
          <w:rFonts w:ascii="Trebuchet MS" w:eastAsia="Cambria" w:hAnsi="Trebuchet MS"/>
          <w:sz w:val="24"/>
          <w:highlight w:val="white"/>
        </w:rPr>
        <w:t xml:space="preserve">respective </w:t>
      </w:r>
      <w:r w:rsidRPr="00492095">
        <w:rPr>
          <w:rFonts w:ascii="Trebuchet MS" w:eastAsia="Cambria" w:hAnsi="Trebuchet MS"/>
          <w:sz w:val="24"/>
          <w:highlight w:val="white"/>
        </w:rPr>
        <w:t>costs, with the lower cost representing the more efficient (cost-effective) alternative</w:t>
      </w:r>
      <w:r w:rsidR="001776A6" w:rsidRPr="00492095">
        <w:rPr>
          <w:rFonts w:ascii="Trebuchet MS" w:eastAsia="Cambria" w:hAnsi="Trebuchet MS"/>
          <w:sz w:val="24"/>
          <w:highlight w:val="white"/>
        </w:rPr>
        <w:t xml:space="preserve"> (Boardman et al, 2011). </w:t>
      </w:r>
      <w:r w:rsidRPr="00492095">
        <w:rPr>
          <w:rFonts w:ascii="Trebuchet MS" w:eastAsia="Cambria" w:hAnsi="Trebuchet MS"/>
          <w:sz w:val="24"/>
          <w:highlight w:val="white"/>
        </w:rPr>
        <w:t xml:space="preserve">Data limitations </w:t>
      </w:r>
      <w:r w:rsidRPr="00492095">
        <w:rPr>
          <w:rFonts w:ascii="Trebuchet MS" w:eastAsia="Cambria" w:hAnsi="Trebuchet MS"/>
          <w:sz w:val="24"/>
          <w:highlight w:val="white"/>
        </w:rPr>
        <w:lastRenderedPageBreak/>
        <w:t>compromise that effort, leaving the need for some interpretation of the results — the two projects evaluated here produc</w:t>
      </w:r>
      <w:r w:rsidR="002B12C6">
        <w:rPr>
          <w:rFonts w:ascii="Trebuchet MS" w:eastAsia="Cambria" w:hAnsi="Trebuchet MS"/>
          <w:sz w:val="24"/>
          <w:highlight w:val="white"/>
        </w:rPr>
        <w:t>e different</w:t>
      </w:r>
      <w:r w:rsidRPr="00492095">
        <w:rPr>
          <w:rFonts w:ascii="Trebuchet MS" w:eastAsia="Cambria" w:hAnsi="Trebuchet MS"/>
          <w:sz w:val="24"/>
          <w:highlight w:val="white"/>
        </w:rPr>
        <w:t xml:space="preserve"> benefits; specifically, one </w:t>
      </w:r>
      <w:r w:rsidR="008B2BB0" w:rsidRPr="00492095">
        <w:rPr>
          <w:rFonts w:ascii="Trebuchet MS" w:eastAsia="Cambria" w:hAnsi="Trebuchet MS"/>
          <w:sz w:val="24"/>
          <w:highlight w:val="white"/>
        </w:rPr>
        <w:t xml:space="preserve">may </w:t>
      </w:r>
      <w:r w:rsidRPr="00492095">
        <w:rPr>
          <w:rFonts w:ascii="Trebuchet MS" w:eastAsia="Cambria" w:hAnsi="Trebuchet MS"/>
          <w:sz w:val="24"/>
          <w:highlight w:val="white"/>
        </w:rPr>
        <w:t>capture more storm</w:t>
      </w:r>
      <w:r w:rsidR="00A81A5A">
        <w:rPr>
          <w:rFonts w:ascii="Trebuchet MS" w:eastAsia="Cambria" w:hAnsi="Trebuchet MS"/>
          <w:sz w:val="24"/>
          <w:highlight w:val="white"/>
        </w:rPr>
        <w:t xml:space="preserve"> </w:t>
      </w:r>
      <w:r w:rsidRPr="00492095">
        <w:rPr>
          <w:rFonts w:ascii="Trebuchet MS" w:eastAsia="Cambria" w:hAnsi="Trebuchet MS"/>
          <w:sz w:val="24"/>
          <w:highlight w:val="white"/>
        </w:rPr>
        <w:t>water than the other</w:t>
      </w:r>
      <w:r w:rsidR="008B2BB0" w:rsidRPr="00492095">
        <w:rPr>
          <w:rFonts w:ascii="Trebuchet MS" w:eastAsia="Cambria" w:hAnsi="Trebuchet MS"/>
          <w:sz w:val="24"/>
          <w:highlight w:val="white"/>
        </w:rPr>
        <w:t xml:space="preserve"> during larger storms</w:t>
      </w:r>
      <w:r w:rsidRPr="00492095">
        <w:rPr>
          <w:rFonts w:ascii="Trebuchet MS" w:eastAsia="Cambria" w:hAnsi="Trebuchet MS"/>
          <w:sz w:val="24"/>
          <w:highlight w:val="white"/>
        </w:rPr>
        <w:t xml:space="preserve">, meaning its relatively higher </w:t>
      </w:r>
      <w:r w:rsidR="002B12C6">
        <w:rPr>
          <w:rFonts w:ascii="Trebuchet MS" w:eastAsia="Cambria" w:hAnsi="Trebuchet MS"/>
          <w:sz w:val="24"/>
          <w:highlight w:val="white"/>
        </w:rPr>
        <w:t xml:space="preserve">upfront </w:t>
      </w:r>
      <w:r w:rsidRPr="00492095">
        <w:rPr>
          <w:rFonts w:ascii="Trebuchet MS" w:eastAsia="Cambria" w:hAnsi="Trebuchet MS"/>
          <w:sz w:val="24"/>
          <w:highlight w:val="white"/>
        </w:rPr>
        <w:t>capital costs must be held in perspective.</w:t>
      </w:r>
    </w:p>
    <w:p w14:paraId="07283B18" w14:textId="49D2A17E" w:rsidR="00B54EE0" w:rsidRPr="00492095" w:rsidRDefault="00B54EE0" w:rsidP="00DA5AE3">
      <w:pPr>
        <w:pStyle w:val="Normal1"/>
        <w:spacing w:after="120"/>
        <w:rPr>
          <w:rFonts w:ascii="Trebuchet MS" w:hAnsi="Trebuchet MS"/>
          <w:sz w:val="24"/>
        </w:rPr>
      </w:pPr>
      <w:r w:rsidRPr="00492095">
        <w:rPr>
          <w:rFonts w:ascii="Trebuchet MS" w:eastAsia="Cambria" w:hAnsi="Trebuchet MS"/>
          <w:sz w:val="24"/>
          <w:highlight w:val="white"/>
        </w:rPr>
        <w:t xml:space="preserve">The steps referenced below </w:t>
      </w:r>
      <w:r w:rsidR="008355C2">
        <w:rPr>
          <w:rFonts w:ascii="Trebuchet MS" w:eastAsia="Cambria" w:hAnsi="Trebuchet MS"/>
          <w:sz w:val="24"/>
          <w:highlight w:val="white"/>
        </w:rPr>
        <w:t xml:space="preserve">— also discussed in the </w:t>
      </w:r>
      <w:r w:rsidR="002B12C6">
        <w:rPr>
          <w:rFonts w:ascii="Trebuchet MS" w:eastAsia="Cambria" w:hAnsi="Trebuchet MS"/>
          <w:sz w:val="24"/>
          <w:highlight w:val="white"/>
        </w:rPr>
        <w:t>model document itself — subscribe to</w:t>
      </w:r>
      <w:r w:rsidRPr="00492095">
        <w:rPr>
          <w:rFonts w:ascii="Trebuchet MS" w:eastAsia="Cambria" w:hAnsi="Trebuchet MS"/>
          <w:sz w:val="24"/>
          <w:highlight w:val="white"/>
        </w:rPr>
        <w:t xml:space="preserve"> </w:t>
      </w:r>
      <w:r w:rsidR="002B12C6">
        <w:rPr>
          <w:rFonts w:ascii="Trebuchet MS" w:eastAsia="Cambria" w:hAnsi="Trebuchet MS"/>
          <w:sz w:val="24"/>
          <w:highlight w:val="white"/>
        </w:rPr>
        <w:t xml:space="preserve">and operationalize </w:t>
      </w:r>
      <w:r w:rsidRPr="00492095">
        <w:rPr>
          <w:rFonts w:ascii="Trebuchet MS" w:eastAsia="Cambria" w:hAnsi="Trebuchet MS"/>
          <w:sz w:val="24"/>
          <w:highlight w:val="white"/>
        </w:rPr>
        <w:t>th</w:t>
      </w:r>
      <w:r w:rsidR="002B12C6">
        <w:rPr>
          <w:rFonts w:ascii="Trebuchet MS" w:eastAsia="Cambria" w:hAnsi="Trebuchet MS"/>
          <w:sz w:val="24"/>
          <w:highlight w:val="white"/>
        </w:rPr>
        <w:t>e foundations of</w:t>
      </w:r>
      <w:r w:rsidRPr="00492095">
        <w:rPr>
          <w:rFonts w:ascii="Trebuchet MS" w:eastAsia="Cambria" w:hAnsi="Trebuchet MS"/>
          <w:sz w:val="24"/>
          <w:highlight w:val="white"/>
        </w:rPr>
        <w:t xml:space="preserve"> life-cycle cost analysis, which public and private organizations widely use t</w:t>
      </w:r>
      <w:r w:rsidR="002B12C6">
        <w:rPr>
          <w:rFonts w:ascii="Trebuchet MS" w:eastAsia="Cambria" w:hAnsi="Trebuchet MS"/>
          <w:sz w:val="24"/>
          <w:highlight w:val="white"/>
        </w:rPr>
        <w:t>o help</w:t>
      </w:r>
      <w:r w:rsidRPr="00492095">
        <w:rPr>
          <w:rFonts w:ascii="Trebuchet MS" w:eastAsia="Cambria" w:hAnsi="Trebuchet MS"/>
          <w:sz w:val="24"/>
          <w:highlight w:val="white"/>
        </w:rPr>
        <w:t xml:space="preserve"> comp</w:t>
      </w:r>
      <w:r w:rsidR="002B12C6">
        <w:rPr>
          <w:rFonts w:ascii="Trebuchet MS" w:eastAsia="Cambria" w:hAnsi="Trebuchet MS"/>
          <w:sz w:val="24"/>
          <w:highlight w:val="white"/>
        </w:rPr>
        <w:t>are</w:t>
      </w:r>
      <w:r w:rsidRPr="00492095">
        <w:rPr>
          <w:rFonts w:ascii="Trebuchet MS" w:eastAsia="Cambria" w:hAnsi="Trebuchet MS"/>
          <w:sz w:val="24"/>
          <w:highlight w:val="white"/>
        </w:rPr>
        <w:t xml:space="preserve"> </w:t>
      </w:r>
      <w:r w:rsidR="002B12C6">
        <w:rPr>
          <w:rFonts w:ascii="Trebuchet MS" w:eastAsia="Cambria" w:hAnsi="Trebuchet MS"/>
          <w:sz w:val="24"/>
          <w:highlight w:val="white"/>
        </w:rPr>
        <w:t>alternatives in the sphere of public works</w:t>
      </w:r>
      <w:r w:rsidRPr="00492095">
        <w:rPr>
          <w:rFonts w:ascii="Trebuchet MS" w:eastAsia="Cambria" w:hAnsi="Trebuchet MS"/>
          <w:sz w:val="24"/>
          <w:highlight w:val="white"/>
        </w:rPr>
        <w:t>. The State identifies the following steps in a typical life-cycle cost analysis</w:t>
      </w:r>
      <w:r w:rsidRPr="00492095">
        <w:rPr>
          <w:rFonts w:ascii="Trebuchet MS" w:eastAsia="Cambria" w:hAnsi="Trebuchet MS"/>
          <w:sz w:val="24"/>
          <w:highlight w:val="white"/>
          <w:vertAlign w:val="superscript"/>
        </w:rPr>
        <w:footnoteReference w:id="3"/>
      </w:r>
      <w:r w:rsidRPr="00492095">
        <w:rPr>
          <w:rFonts w:ascii="Trebuchet MS" w:eastAsia="Cambria" w:hAnsi="Trebuchet MS"/>
          <w:sz w:val="24"/>
          <w:highlight w:val="white"/>
        </w:rPr>
        <w:t xml:space="preserve">: </w:t>
      </w:r>
    </w:p>
    <w:p w14:paraId="2D6FCE4D" w14:textId="77777777" w:rsidR="00B54EE0" w:rsidRPr="00492095" w:rsidRDefault="00B54EE0" w:rsidP="00DA5AE3">
      <w:pPr>
        <w:pStyle w:val="Normal1"/>
        <w:spacing w:after="120"/>
        <w:ind w:firstLine="720"/>
        <w:rPr>
          <w:rFonts w:ascii="Trebuchet MS" w:hAnsi="Trebuchet MS"/>
          <w:sz w:val="24"/>
        </w:rPr>
      </w:pPr>
      <w:r w:rsidRPr="00492095">
        <w:rPr>
          <w:rFonts w:ascii="Trebuchet MS" w:eastAsia="Cambria" w:hAnsi="Trebuchet MS"/>
          <w:sz w:val="24"/>
          <w:highlight w:val="white"/>
        </w:rPr>
        <w:t xml:space="preserve">1. Identify alternatives; </w:t>
      </w:r>
    </w:p>
    <w:p w14:paraId="354A3DDC" w14:textId="77777777" w:rsidR="00B54EE0" w:rsidRPr="00492095" w:rsidRDefault="00B54EE0" w:rsidP="00DA5AE3">
      <w:pPr>
        <w:pStyle w:val="Normal1"/>
        <w:spacing w:after="120"/>
        <w:ind w:firstLine="720"/>
        <w:rPr>
          <w:rFonts w:ascii="Trebuchet MS" w:hAnsi="Trebuchet MS"/>
          <w:sz w:val="24"/>
        </w:rPr>
      </w:pPr>
      <w:r w:rsidRPr="00492095">
        <w:rPr>
          <w:rFonts w:ascii="Trebuchet MS" w:eastAsia="Cambria" w:hAnsi="Trebuchet MS"/>
          <w:sz w:val="24"/>
          <w:highlight w:val="white"/>
        </w:rPr>
        <w:t xml:space="preserve">2. Determine an appropriate analytical time period; </w:t>
      </w:r>
    </w:p>
    <w:p w14:paraId="7C33EB3F" w14:textId="77777777" w:rsidR="00B54EE0" w:rsidRPr="00492095" w:rsidRDefault="00B54EE0" w:rsidP="00DA5AE3">
      <w:pPr>
        <w:pStyle w:val="Normal1"/>
        <w:spacing w:after="120"/>
        <w:ind w:firstLine="720"/>
        <w:rPr>
          <w:rFonts w:ascii="Trebuchet MS" w:hAnsi="Trebuchet MS"/>
          <w:sz w:val="24"/>
        </w:rPr>
      </w:pPr>
      <w:r w:rsidRPr="00492095">
        <w:rPr>
          <w:rFonts w:ascii="Trebuchet MS" w:eastAsia="Cambria" w:hAnsi="Trebuchet MS"/>
          <w:sz w:val="24"/>
          <w:highlight w:val="white"/>
        </w:rPr>
        <w:t xml:space="preserve">3. Calculate the costs over time for each alternative; </w:t>
      </w:r>
    </w:p>
    <w:p w14:paraId="6ED4D748" w14:textId="57A9C477" w:rsidR="00B54EE0" w:rsidRPr="00492095" w:rsidRDefault="00B54EE0" w:rsidP="00DA5AE3">
      <w:pPr>
        <w:pStyle w:val="Normal1"/>
        <w:spacing w:after="120"/>
        <w:ind w:left="720"/>
        <w:rPr>
          <w:rFonts w:ascii="Trebuchet MS" w:hAnsi="Trebuchet MS"/>
          <w:sz w:val="24"/>
        </w:rPr>
      </w:pPr>
      <w:r w:rsidRPr="00492095">
        <w:rPr>
          <w:rFonts w:ascii="Trebuchet MS" w:eastAsia="Cambria" w:hAnsi="Trebuchet MS"/>
          <w:sz w:val="24"/>
          <w:highlight w:val="white"/>
        </w:rPr>
        <w:t>4. Di</w:t>
      </w:r>
      <w:r w:rsidR="00866D16" w:rsidRPr="00492095">
        <w:rPr>
          <w:rFonts w:ascii="Trebuchet MS" w:eastAsia="Cambria" w:hAnsi="Trebuchet MS"/>
          <w:sz w:val="24"/>
          <w:highlight w:val="white"/>
        </w:rPr>
        <w:t>scount future costs to secure</w:t>
      </w:r>
      <w:r w:rsidRPr="00492095">
        <w:rPr>
          <w:rFonts w:ascii="Trebuchet MS" w:eastAsia="Cambria" w:hAnsi="Trebuchet MS"/>
          <w:sz w:val="24"/>
          <w:highlight w:val="white"/>
        </w:rPr>
        <w:t xml:space="preserve"> all</w:t>
      </w:r>
      <w:r w:rsidR="00866D16" w:rsidRPr="00492095">
        <w:rPr>
          <w:rFonts w:ascii="Trebuchet MS" w:eastAsia="Cambria" w:hAnsi="Trebuchet MS"/>
          <w:sz w:val="24"/>
          <w:highlight w:val="white"/>
        </w:rPr>
        <w:t>-inclusive</w:t>
      </w:r>
      <w:r w:rsidRPr="00492095">
        <w:rPr>
          <w:rFonts w:ascii="Trebuchet MS" w:eastAsia="Cambria" w:hAnsi="Trebuchet MS"/>
          <w:sz w:val="24"/>
          <w:highlight w:val="white"/>
        </w:rPr>
        <w:t xml:space="preserve"> net present values; </w:t>
      </w:r>
    </w:p>
    <w:p w14:paraId="7653C7AF" w14:textId="77777777" w:rsidR="00B54EE0" w:rsidRPr="00492095" w:rsidRDefault="00B54EE0" w:rsidP="00DA5AE3">
      <w:pPr>
        <w:pStyle w:val="Normal1"/>
        <w:spacing w:after="120"/>
        <w:ind w:firstLine="720"/>
        <w:rPr>
          <w:rFonts w:ascii="Trebuchet MS" w:hAnsi="Trebuchet MS"/>
          <w:sz w:val="24"/>
        </w:rPr>
      </w:pPr>
      <w:r w:rsidRPr="00492095">
        <w:rPr>
          <w:rFonts w:ascii="Trebuchet MS" w:eastAsia="Cambria" w:hAnsi="Trebuchet MS"/>
          <w:sz w:val="24"/>
          <w:highlight w:val="white"/>
        </w:rPr>
        <w:t xml:space="preserve">5. Test the values to sensitivity against individual variables, and; </w:t>
      </w:r>
    </w:p>
    <w:p w14:paraId="07207F63" w14:textId="4434537B" w:rsidR="00B54EE0" w:rsidRPr="00492095" w:rsidRDefault="00B54EE0" w:rsidP="00DA5AE3">
      <w:pPr>
        <w:pStyle w:val="Normal1"/>
        <w:spacing w:after="120"/>
        <w:ind w:firstLine="720"/>
        <w:rPr>
          <w:rFonts w:ascii="Trebuchet MS" w:hAnsi="Trebuchet MS"/>
          <w:sz w:val="24"/>
        </w:rPr>
      </w:pPr>
      <w:r w:rsidRPr="00492095">
        <w:rPr>
          <w:rFonts w:ascii="Trebuchet MS" w:eastAsia="Cambria" w:hAnsi="Trebuchet MS"/>
          <w:sz w:val="24"/>
          <w:highlight w:val="white"/>
        </w:rPr>
        <w:t>6. Use th</w:t>
      </w:r>
      <w:r w:rsidR="008355C2">
        <w:rPr>
          <w:rFonts w:ascii="Trebuchet MS" w:eastAsia="Cambria" w:hAnsi="Trebuchet MS"/>
          <w:sz w:val="24"/>
          <w:highlight w:val="white"/>
        </w:rPr>
        <w:t>at</w:t>
      </w:r>
      <w:r w:rsidRPr="00492095">
        <w:rPr>
          <w:rFonts w:ascii="Trebuchet MS" w:eastAsia="Cambria" w:hAnsi="Trebuchet MS"/>
          <w:sz w:val="24"/>
          <w:highlight w:val="white"/>
        </w:rPr>
        <w:t xml:space="preserve"> information to help choose the best alternative. </w:t>
      </w:r>
    </w:p>
    <w:p w14:paraId="2394E2D9" w14:textId="3415EDE8" w:rsidR="00D25BDC" w:rsidRPr="00492095" w:rsidRDefault="00D25BDC" w:rsidP="00DA5AE3">
      <w:pPr>
        <w:pStyle w:val="Normal1"/>
        <w:spacing w:after="120"/>
        <w:rPr>
          <w:rFonts w:ascii="Trebuchet MS" w:hAnsi="Trebuchet MS"/>
          <w:sz w:val="24"/>
        </w:rPr>
      </w:pPr>
      <w:r w:rsidRPr="00492095">
        <w:rPr>
          <w:rFonts w:ascii="Trebuchet MS" w:eastAsia="Cambria" w:hAnsi="Trebuchet MS"/>
          <w:sz w:val="24"/>
          <w:highlight w:val="white"/>
        </w:rPr>
        <w:t>Th</w:t>
      </w:r>
      <w:r w:rsidR="002B12C6">
        <w:rPr>
          <w:rFonts w:ascii="Trebuchet MS" w:eastAsia="Cambria" w:hAnsi="Trebuchet MS"/>
          <w:sz w:val="24"/>
          <w:highlight w:val="white"/>
        </w:rPr>
        <w:t xml:space="preserve">e centerpiece is a </w:t>
      </w:r>
      <w:r w:rsidRPr="00492095">
        <w:rPr>
          <w:rFonts w:ascii="Trebuchet MS" w:eastAsia="Cambria" w:hAnsi="Trebuchet MS"/>
          <w:sz w:val="24"/>
          <w:highlight w:val="white"/>
        </w:rPr>
        <w:t>reli</w:t>
      </w:r>
      <w:r w:rsidR="002B12C6">
        <w:rPr>
          <w:rFonts w:ascii="Trebuchet MS" w:eastAsia="Cambria" w:hAnsi="Trebuchet MS"/>
          <w:sz w:val="24"/>
          <w:highlight w:val="white"/>
        </w:rPr>
        <w:t>ance</w:t>
      </w:r>
      <w:r w:rsidRPr="00492095">
        <w:rPr>
          <w:rFonts w:ascii="Trebuchet MS" w:eastAsia="Cambria" w:hAnsi="Trebuchet MS"/>
          <w:sz w:val="24"/>
          <w:highlight w:val="white"/>
        </w:rPr>
        <w:t xml:space="preserve"> on discounted cash flows for each project alternative. The </w:t>
      </w:r>
      <w:r w:rsidR="002B12C6">
        <w:rPr>
          <w:rFonts w:ascii="Trebuchet MS" w:eastAsia="Cambria" w:hAnsi="Trebuchet MS"/>
          <w:sz w:val="24"/>
          <w:highlight w:val="white"/>
        </w:rPr>
        <w:t>S</w:t>
      </w:r>
      <w:r w:rsidRPr="00492095">
        <w:rPr>
          <w:rFonts w:ascii="Trebuchet MS" w:eastAsia="Cambria" w:hAnsi="Trebuchet MS"/>
          <w:sz w:val="24"/>
          <w:highlight w:val="white"/>
        </w:rPr>
        <w:t>tate refers to this in terms of a “present worth</w:t>
      </w:r>
      <w:r w:rsidR="002B12C6">
        <w:rPr>
          <w:rFonts w:ascii="Trebuchet MS" w:eastAsia="Cambria" w:hAnsi="Trebuchet MS"/>
          <w:sz w:val="24"/>
          <w:highlight w:val="white"/>
        </w:rPr>
        <w:t xml:space="preserve">” </w:t>
      </w:r>
      <w:r w:rsidRPr="00492095">
        <w:rPr>
          <w:rFonts w:ascii="Trebuchet MS" w:eastAsia="Cambria" w:hAnsi="Trebuchet MS"/>
          <w:sz w:val="24"/>
          <w:highlight w:val="white"/>
        </w:rPr>
        <w:t xml:space="preserve">method </w:t>
      </w:r>
      <w:r w:rsidR="002B12C6">
        <w:rPr>
          <w:rFonts w:ascii="Trebuchet MS" w:eastAsia="Cambria" w:hAnsi="Trebuchet MS"/>
          <w:sz w:val="24"/>
          <w:highlight w:val="white"/>
        </w:rPr>
        <w:t xml:space="preserve">of </w:t>
      </w:r>
      <w:r w:rsidRPr="00492095">
        <w:rPr>
          <w:rFonts w:ascii="Trebuchet MS" w:eastAsia="Cambria" w:hAnsi="Trebuchet MS"/>
          <w:sz w:val="24"/>
          <w:highlight w:val="white"/>
        </w:rPr>
        <w:t>discount</w:t>
      </w:r>
      <w:r w:rsidR="002B12C6">
        <w:rPr>
          <w:rFonts w:ascii="Trebuchet MS" w:eastAsia="Cambria" w:hAnsi="Trebuchet MS"/>
          <w:sz w:val="24"/>
          <w:highlight w:val="white"/>
        </w:rPr>
        <w:t>ing</w:t>
      </w:r>
      <w:r w:rsidRPr="00492095">
        <w:rPr>
          <w:rFonts w:ascii="Trebuchet MS" w:eastAsia="Cambria" w:hAnsi="Trebuchet MS"/>
          <w:sz w:val="24"/>
          <w:highlight w:val="white"/>
        </w:rPr>
        <w:t xml:space="preserve"> all costs over time — initial construction, ongoing maintenance, rebuilding costs, et cetera — to today’s dollars for ease of comparison. As the </w:t>
      </w:r>
      <w:r w:rsidR="002B12C6">
        <w:rPr>
          <w:rFonts w:ascii="Trebuchet MS" w:eastAsia="Cambria" w:hAnsi="Trebuchet MS"/>
          <w:sz w:val="24"/>
          <w:highlight w:val="white"/>
        </w:rPr>
        <w:t>S</w:t>
      </w:r>
      <w:r w:rsidRPr="00492095">
        <w:rPr>
          <w:rFonts w:ascii="Trebuchet MS" w:eastAsia="Cambria" w:hAnsi="Trebuchet MS"/>
          <w:sz w:val="24"/>
          <w:highlight w:val="white"/>
        </w:rPr>
        <w:t xml:space="preserve">tate puts it: </w:t>
      </w:r>
    </w:p>
    <w:p w14:paraId="21CF5412" w14:textId="77777777" w:rsidR="00D25BDC" w:rsidRPr="00492095" w:rsidRDefault="00D25BDC" w:rsidP="00DA5AE3">
      <w:pPr>
        <w:pStyle w:val="Normal1"/>
        <w:spacing w:after="120"/>
        <w:ind w:left="720" w:right="1080"/>
        <w:jc w:val="both"/>
        <w:rPr>
          <w:rFonts w:ascii="Trebuchet MS" w:hAnsi="Trebuchet MS"/>
          <w:color w:val="808080" w:themeColor="background1" w:themeShade="80"/>
          <w:sz w:val="24"/>
        </w:rPr>
      </w:pPr>
      <w:r w:rsidRPr="00492095">
        <w:rPr>
          <w:rFonts w:ascii="Trebuchet MS" w:eastAsia="Cambria" w:hAnsi="Trebuchet MS"/>
          <w:i/>
          <w:color w:val="808080" w:themeColor="background1" w:themeShade="80"/>
          <w:sz w:val="24"/>
          <w:highlight w:val="white"/>
        </w:rPr>
        <w:t>“Present worth of a treatment strategy may be thought of as the amount of money that would have to be invested now to fund future treatments when necessary. To account for the time value of money, the present worth method of [life cycle costing] discounts future treatment costs to their worth in today’s dollars. The rate at which future treatments are discounted, or “discount rate,” is the difference between return on public investments (interest) and inflation.”</w:t>
      </w:r>
    </w:p>
    <w:p w14:paraId="68DE1545" w14:textId="26C00D47" w:rsidR="00A51F85" w:rsidRDefault="00A51F85" w:rsidP="00DA5AE3">
      <w:pPr>
        <w:pStyle w:val="Normal1"/>
        <w:spacing w:after="120"/>
        <w:rPr>
          <w:rFonts w:ascii="Trebuchet MS" w:eastAsia="Cambria" w:hAnsi="Trebuchet MS"/>
          <w:sz w:val="24"/>
          <w:highlight w:val="white"/>
        </w:rPr>
      </w:pPr>
      <w:r w:rsidRPr="00492095">
        <w:rPr>
          <w:rFonts w:ascii="Trebuchet MS" w:eastAsia="Cambria" w:hAnsi="Trebuchet MS"/>
          <w:noProof/>
          <w:sz w:val="24"/>
          <w:lang w:eastAsia="en-US"/>
        </w:rPr>
        <mc:AlternateContent>
          <mc:Choice Requires="wps">
            <w:drawing>
              <wp:anchor distT="0" distB="0" distL="114300" distR="114300" simplePos="0" relativeHeight="251664384" behindDoc="0" locked="0" layoutInCell="1" allowOverlap="1" wp14:anchorId="3F176C0A" wp14:editId="4F824EDD">
                <wp:simplePos x="0" y="0"/>
                <wp:positionH relativeFrom="column">
                  <wp:posOffset>571500</wp:posOffset>
                </wp:positionH>
                <wp:positionV relativeFrom="paragraph">
                  <wp:posOffset>236855</wp:posOffset>
                </wp:positionV>
                <wp:extent cx="4914900" cy="2286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9149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2EBAF" w14:textId="77777777" w:rsidR="00190FCA" w:rsidRDefault="00190FCA" w:rsidP="00A51F85">
                            <w:r>
                              <w:rPr>
                                <w:noProof/>
                              </w:rPr>
                              <w:drawing>
                                <wp:inline distT="0" distB="0" distL="0" distR="0" wp14:anchorId="5E785677" wp14:editId="63E488E2">
                                  <wp:extent cx="4685089" cy="2098307"/>
                                  <wp:effectExtent l="25400" t="25400" r="13970" b="35560"/>
                                  <wp:docPr id="7" name="Picture 7" descr="Macintosh HD:Users:chriseshleman:Desktop:d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hriseshleman:Desktop:dc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40" cy="2098867"/>
                                          </a:xfrm>
                                          <a:prstGeom prst="rect">
                                            <a:avLst/>
                                          </a:prstGeom>
                                          <a:noFill/>
                                          <a:ln>
                                            <a:solidFill>
                                              <a:schemeClr val="tx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5pt;margin-top:18.65pt;width:387pt;height:1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" filled="f" stroked="f">
                <v:textbox>
                  <w:txbxContent>
                    <w:p w14:paraId="2AE2EBAF" w14:textId="77777777" w:rsidR="00190FCA" w:rsidRDefault="00190FCA" w:rsidP="00A51F85">
                      <w:r>
                        <w:rPr>
                          <w:noProof/>
                        </w:rPr>
                        <w:drawing>
                          <wp:inline distT="0" distB="0" distL="0" distR="0" wp14:anchorId="5E785677" wp14:editId="63E488E2">
                            <wp:extent cx="4685089" cy="2098307"/>
                            <wp:effectExtent l="25400" t="25400" r="13970" b="35560"/>
                            <wp:docPr id="7" name="Picture 7" descr="Macintosh HD:Users:chriseshleman:Desktop:d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hriseshleman:Desktop:dc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40" cy="2098867"/>
                                    </a:xfrm>
                                    <a:prstGeom prst="rect">
                                      <a:avLst/>
                                    </a:prstGeom>
                                    <a:noFill/>
                                    <a:ln>
                                      <a:solidFill>
                                        <a:schemeClr val="tx1"/>
                                      </a:solidFill>
                                    </a:ln>
                                  </pic:spPr>
                                </pic:pic>
                              </a:graphicData>
                            </a:graphic>
                          </wp:inline>
                        </w:drawing>
                      </w:r>
                    </w:p>
                  </w:txbxContent>
                </v:textbox>
                <w10:wrap type="square"/>
              </v:shape>
            </w:pict>
          </mc:Fallback>
        </mc:AlternateContent>
      </w:r>
    </w:p>
    <w:p w14:paraId="573486D1" w14:textId="77777777" w:rsidR="00A51F85" w:rsidRDefault="00A51F85" w:rsidP="00DA5AE3">
      <w:pPr>
        <w:pStyle w:val="Normal1"/>
        <w:spacing w:after="120"/>
        <w:rPr>
          <w:rFonts w:ascii="Trebuchet MS" w:eastAsia="Cambria" w:hAnsi="Trebuchet MS"/>
          <w:sz w:val="24"/>
          <w:highlight w:val="white"/>
        </w:rPr>
      </w:pPr>
    </w:p>
    <w:p w14:paraId="1524EDD9" w14:textId="77777777" w:rsidR="00A51F85" w:rsidRDefault="00A51F85" w:rsidP="00DA5AE3">
      <w:pPr>
        <w:pStyle w:val="Normal1"/>
        <w:spacing w:after="120"/>
        <w:rPr>
          <w:rFonts w:ascii="Trebuchet MS" w:eastAsia="Cambria" w:hAnsi="Trebuchet MS"/>
          <w:sz w:val="24"/>
          <w:highlight w:val="white"/>
        </w:rPr>
      </w:pPr>
    </w:p>
    <w:p w14:paraId="44C56337" w14:textId="77777777" w:rsidR="00A51F85" w:rsidRDefault="00A51F85" w:rsidP="00DA5AE3">
      <w:pPr>
        <w:pStyle w:val="Normal1"/>
        <w:spacing w:after="120"/>
        <w:rPr>
          <w:rFonts w:ascii="Trebuchet MS" w:eastAsia="Cambria" w:hAnsi="Trebuchet MS"/>
          <w:sz w:val="24"/>
          <w:highlight w:val="white"/>
        </w:rPr>
      </w:pPr>
    </w:p>
    <w:p w14:paraId="637C1676" w14:textId="77777777" w:rsidR="00A51F85" w:rsidRDefault="00A51F85" w:rsidP="00DA5AE3">
      <w:pPr>
        <w:pStyle w:val="Normal1"/>
        <w:spacing w:after="120"/>
        <w:rPr>
          <w:rFonts w:ascii="Trebuchet MS" w:eastAsia="Cambria" w:hAnsi="Trebuchet MS"/>
          <w:sz w:val="24"/>
          <w:highlight w:val="white"/>
        </w:rPr>
      </w:pPr>
    </w:p>
    <w:p w14:paraId="2A7692C5" w14:textId="77777777" w:rsidR="00A51F85" w:rsidRDefault="00A51F85" w:rsidP="00DA5AE3">
      <w:pPr>
        <w:pStyle w:val="Normal1"/>
        <w:spacing w:after="120"/>
        <w:rPr>
          <w:rFonts w:ascii="Trebuchet MS" w:eastAsia="Cambria" w:hAnsi="Trebuchet MS"/>
          <w:sz w:val="24"/>
          <w:highlight w:val="white"/>
        </w:rPr>
      </w:pPr>
    </w:p>
    <w:p w14:paraId="21E96A9B" w14:textId="554B6C6D" w:rsidR="00A51F85" w:rsidRDefault="00A51F85" w:rsidP="00DA5AE3">
      <w:pPr>
        <w:pStyle w:val="Normal1"/>
        <w:spacing w:after="120"/>
        <w:rPr>
          <w:rFonts w:ascii="Trebuchet MS" w:eastAsia="Cambria" w:hAnsi="Trebuchet MS"/>
          <w:sz w:val="24"/>
          <w:highlight w:val="white"/>
        </w:rPr>
      </w:pPr>
    </w:p>
    <w:p w14:paraId="12AB8A63" w14:textId="77777777" w:rsidR="00A51F85" w:rsidRDefault="00A51F85" w:rsidP="00DA5AE3">
      <w:pPr>
        <w:pStyle w:val="Normal1"/>
        <w:spacing w:after="120"/>
        <w:rPr>
          <w:rFonts w:ascii="Trebuchet MS" w:eastAsia="Cambria" w:hAnsi="Trebuchet MS"/>
          <w:sz w:val="24"/>
          <w:highlight w:val="white"/>
        </w:rPr>
      </w:pPr>
    </w:p>
    <w:p w14:paraId="59E8B5C8" w14:textId="498B6D29" w:rsidR="00A51F85" w:rsidRDefault="002B12C6" w:rsidP="00DA5AE3">
      <w:pPr>
        <w:pStyle w:val="Normal1"/>
        <w:spacing w:after="120"/>
        <w:rPr>
          <w:rFonts w:ascii="Trebuchet MS" w:eastAsia="Cambria" w:hAnsi="Trebuchet MS"/>
          <w:sz w:val="24"/>
          <w:highlight w:val="white"/>
        </w:rPr>
      </w:pPr>
      <w:r w:rsidRPr="00492095">
        <w:rPr>
          <w:rFonts w:ascii="Trebuchet MS" w:eastAsia="Cambria" w:hAnsi="Trebuchet MS"/>
          <w:noProof/>
          <w:sz w:val="24"/>
          <w:lang w:eastAsia="en-US"/>
        </w:rPr>
        <mc:AlternateContent>
          <mc:Choice Requires="wps">
            <w:drawing>
              <wp:anchor distT="0" distB="0" distL="114300" distR="114300" simplePos="0" relativeHeight="251675648" behindDoc="0" locked="0" layoutInCell="1" allowOverlap="1" wp14:anchorId="1687E41E" wp14:editId="1F073D2A">
                <wp:simplePos x="0" y="0"/>
                <wp:positionH relativeFrom="column">
                  <wp:posOffset>800100</wp:posOffset>
                </wp:positionH>
                <wp:positionV relativeFrom="paragraph">
                  <wp:posOffset>207645</wp:posOffset>
                </wp:positionV>
                <wp:extent cx="4572000" cy="685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4572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E15F42" w14:textId="2880B4EF" w:rsidR="00190FCA" w:rsidRPr="00492095" w:rsidRDefault="00190FCA" w:rsidP="002B12C6">
                            <w:pPr>
                              <w:rPr>
                                <w:rFonts w:ascii="Trebuchet MS" w:hAnsi="Trebuchet MS"/>
                                <w:i/>
                                <w:color w:val="808080" w:themeColor="background1" w:themeShade="80"/>
                                <w:sz w:val="20"/>
                                <w:szCs w:val="20"/>
                              </w:rPr>
                            </w:pPr>
                            <w:proofErr w:type="gramStart"/>
                            <w:r>
                              <w:rPr>
                                <w:rFonts w:ascii="Trebuchet MS" w:hAnsi="Trebuchet MS"/>
                                <w:i/>
                                <w:color w:val="808080" w:themeColor="background1" w:themeShade="80"/>
                                <w:sz w:val="20"/>
                                <w:szCs w:val="20"/>
                              </w:rPr>
                              <w:t>Author’s depiction of the discounted cash flow model used in this project.</w:t>
                            </w:r>
                            <w:proofErr w:type="gramEnd"/>
                            <w:r>
                              <w:rPr>
                                <w:rFonts w:ascii="Trebuchet MS" w:hAnsi="Trebuchet MS"/>
                                <w:i/>
                                <w:color w:val="808080" w:themeColor="background1" w:themeShade="8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63pt;margin-top:16.35pt;width:5in;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" filled="f" stroked="f">
                <v:textbox>
                  <w:txbxContent>
                    <w:p w14:paraId="57E15F42" w14:textId="2880B4EF" w:rsidR="00190FCA" w:rsidRPr="00492095" w:rsidRDefault="00190FCA" w:rsidP="002B12C6">
                      <w:pPr>
                        <w:rPr>
                          <w:rFonts w:ascii="Trebuchet MS" w:hAnsi="Trebuchet MS"/>
                          <w:i/>
                          <w:color w:val="808080" w:themeColor="background1" w:themeShade="80"/>
                          <w:sz w:val="20"/>
                          <w:szCs w:val="20"/>
                        </w:rPr>
                      </w:pPr>
                      <w:proofErr w:type="gramStart"/>
                      <w:r>
                        <w:rPr>
                          <w:rFonts w:ascii="Trebuchet MS" w:hAnsi="Trebuchet MS"/>
                          <w:i/>
                          <w:color w:val="808080" w:themeColor="background1" w:themeShade="80"/>
                          <w:sz w:val="20"/>
                          <w:szCs w:val="20"/>
                        </w:rPr>
                        <w:t>Author’s depiction of the discounted cash flow model used in this project.</w:t>
                      </w:r>
                      <w:proofErr w:type="gramEnd"/>
                      <w:r>
                        <w:rPr>
                          <w:rFonts w:ascii="Trebuchet MS" w:hAnsi="Trebuchet MS"/>
                          <w:i/>
                          <w:color w:val="808080" w:themeColor="background1" w:themeShade="80"/>
                          <w:sz w:val="20"/>
                          <w:szCs w:val="20"/>
                        </w:rPr>
                        <w:t xml:space="preserve"> </w:t>
                      </w:r>
                    </w:p>
                  </w:txbxContent>
                </v:textbox>
                <w10:wrap type="square"/>
              </v:shape>
            </w:pict>
          </mc:Fallback>
        </mc:AlternateContent>
      </w:r>
    </w:p>
    <w:p w14:paraId="61B30EE0" w14:textId="3DA2E29F" w:rsidR="00A51F85" w:rsidRDefault="00A51F85" w:rsidP="00DA5AE3">
      <w:pPr>
        <w:pStyle w:val="Normal1"/>
        <w:spacing w:after="120"/>
        <w:rPr>
          <w:rFonts w:ascii="Trebuchet MS" w:eastAsia="Cambria" w:hAnsi="Trebuchet MS"/>
          <w:sz w:val="24"/>
          <w:highlight w:val="white"/>
        </w:rPr>
      </w:pPr>
    </w:p>
    <w:p w14:paraId="52E0ADA9" w14:textId="77777777" w:rsidR="002B12C6" w:rsidRDefault="002B12C6" w:rsidP="00DA5AE3">
      <w:pPr>
        <w:pStyle w:val="Normal1"/>
        <w:spacing w:after="120"/>
        <w:rPr>
          <w:rFonts w:ascii="Trebuchet MS" w:eastAsia="Cambria" w:hAnsi="Trebuchet MS"/>
          <w:sz w:val="24"/>
          <w:highlight w:val="white"/>
        </w:rPr>
      </w:pPr>
    </w:p>
    <w:p w14:paraId="04C3A15B" w14:textId="07A671A6" w:rsidR="00B54EE0" w:rsidRDefault="00D25BDC" w:rsidP="00DA5AE3">
      <w:pPr>
        <w:pStyle w:val="Normal1"/>
        <w:spacing w:after="120"/>
        <w:rPr>
          <w:rFonts w:ascii="Trebuchet MS" w:eastAsia="Cambria" w:hAnsi="Trebuchet MS"/>
          <w:sz w:val="24"/>
          <w:highlight w:val="white"/>
          <w:vertAlign w:val="superscript"/>
        </w:rPr>
      </w:pPr>
      <w:r w:rsidRPr="00492095">
        <w:rPr>
          <w:rFonts w:ascii="Trebuchet MS" w:eastAsia="Cambria" w:hAnsi="Trebuchet MS"/>
          <w:sz w:val="24"/>
          <w:highlight w:val="white"/>
        </w:rPr>
        <w:t>The tool anchor</w:t>
      </w:r>
      <w:r w:rsidR="002B12C6">
        <w:rPr>
          <w:rFonts w:ascii="Trebuchet MS" w:eastAsia="Cambria" w:hAnsi="Trebuchet MS"/>
          <w:sz w:val="24"/>
          <w:highlight w:val="white"/>
        </w:rPr>
        <w:t xml:space="preserve">ing </w:t>
      </w:r>
      <w:r w:rsidR="008355C2">
        <w:rPr>
          <w:rFonts w:ascii="Trebuchet MS" w:eastAsia="Cambria" w:hAnsi="Trebuchet MS"/>
          <w:sz w:val="24"/>
          <w:highlight w:val="white"/>
        </w:rPr>
        <w:t xml:space="preserve">this </w:t>
      </w:r>
      <w:r w:rsidR="002B12C6">
        <w:rPr>
          <w:rFonts w:ascii="Trebuchet MS" w:eastAsia="Cambria" w:hAnsi="Trebuchet MS"/>
          <w:sz w:val="24"/>
          <w:highlight w:val="white"/>
        </w:rPr>
        <w:t xml:space="preserve">process </w:t>
      </w:r>
      <w:r w:rsidRPr="00492095">
        <w:rPr>
          <w:rFonts w:ascii="Trebuchet MS" w:eastAsia="Cambria" w:hAnsi="Trebuchet MS"/>
          <w:sz w:val="24"/>
          <w:highlight w:val="white"/>
        </w:rPr>
        <w:t>is the discount rate, which lets the analyst take benefits or costs across different times and convert them to a single point in time</w:t>
      </w:r>
      <w:r w:rsidR="002B12C6">
        <w:rPr>
          <w:rFonts w:ascii="Trebuchet MS" w:eastAsia="Cambria" w:hAnsi="Trebuchet MS"/>
          <w:sz w:val="24"/>
          <w:highlight w:val="white"/>
        </w:rPr>
        <w:t xml:space="preserve"> (specifically, today). It’s a process used widely </w:t>
      </w:r>
      <w:r w:rsidRPr="00492095">
        <w:rPr>
          <w:rFonts w:ascii="Trebuchet MS" w:eastAsia="Cambria" w:hAnsi="Trebuchet MS"/>
          <w:sz w:val="24"/>
          <w:highlight w:val="white"/>
        </w:rPr>
        <w:t xml:space="preserve">across disciplines. Efforts to identify an ideal discount rate for a given project or at a given time are complex, but the rate </w:t>
      </w:r>
      <w:r w:rsidR="002B12C6">
        <w:rPr>
          <w:rFonts w:ascii="Trebuchet MS" w:eastAsia="Cambria" w:hAnsi="Trebuchet MS"/>
          <w:sz w:val="24"/>
          <w:highlight w:val="white"/>
        </w:rPr>
        <w:t>often</w:t>
      </w:r>
      <w:r w:rsidRPr="00492095">
        <w:rPr>
          <w:rFonts w:ascii="Trebuchet MS" w:eastAsia="Cambria" w:hAnsi="Trebuchet MS"/>
          <w:sz w:val="24"/>
          <w:highlight w:val="white"/>
        </w:rPr>
        <w:t xml:space="preserve"> hovers around 4 percent, the rate adopted for the </w:t>
      </w:r>
      <w:r w:rsidR="002B12C6">
        <w:rPr>
          <w:rFonts w:ascii="Trebuchet MS" w:eastAsia="Cambria" w:hAnsi="Trebuchet MS"/>
          <w:sz w:val="24"/>
          <w:highlight w:val="white"/>
        </w:rPr>
        <w:t>S</w:t>
      </w:r>
      <w:r w:rsidRPr="00492095">
        <w:rPr>
          <w:rFonts w:ascii="Trebuchet MS" w:eastAsia="Cambria" w:hAnsi="Trebuchet MS"/>
          <w:sz w:val="24"/>
          <w:highlight w:val="white"/>
        </w:rPr>
        <w:t>tate Department of Transportation’s</w:t>
      </w:r>
      <w:r w:rsidR="008B2BB0" w:rsidRPr="00492095">
        <w:rPr>
          <w:rFonts w:ascii="Trebuchet MS" w:eastAsia="Cambria" w:hAnsi="Trebuchet MS"/>
          <w:sz w:val="24"/>
          <w:highlight w:val="white"/>
        </w:rPr>
        <w:t xml:space="preserve"> and the Port Authority’s</w:t>
      </w:r>
      <w:r w:rsidRPr="00492095">
        <w:rPr>
          <w:rFonts w:ascii="Trebuchet MS" w:eastAsia="Cambria" w:hAnsi="Trebuchet MS"/>
          <w:sz w:val="24"/>
          <w:highlight w:val="white"/>
        </w:rPr>
        <w:t xml:space="preserve"> analyses and the rate used here.</w:t>
      </w:r>
      <w:r w:rsidRPr="00492095">
        <w:rPr>
          <w:rFonts w:ascii="Trebuchet MS" w:eastAsia="Cambria" w:hAnsi="Trebuchet MS"/>
          <w:sz w:val="24"/>
          <w:highlight w:val="white"/>
          <w:vertAlign w:val="superscript"/>
        </w:rPr>
        <w:footnoteReference w:id="4"/>
      </w:r>
      <w:r w:rsidR="008B2BB0" w:rsidRPr="00492095">
        <w:rPr>
          <w:rFonts w:ascii="Trebuchet MS" w:eastAsia="Cambria" w:hAnsi="Trebuchet MS"/>
          <w:sz w:val="24"/>
          <w:highlight w:val="white"/>
          <w:vertAlign w:val="superscript"/>
        </w:rPr>
        <w:t>,</w:t>
      </w:r>
      <w:r w:rsidR="008B2BB0" w:rsidRPr="00492095">
        <w:rPr>
          <w:rStyle w:val="FootnoteReference"/>
          <w:rFonts w:ascii="Trebuchet MS" w:eastAsia="Cambria" w:hAnsi="Trebuchet MS"/>
          <w:sz w:val="24"/>
          <w:highlight w:val="white"/>
        </w:rPr>
        <w:footnoteReference w:id="5"/>
      </w:r>
    </w:p>
    <w:p w14:paraId="3D0AB297" w14:textId="77777777" w:rsidR="003A0CD0" w:rsidRPr="00492095" w:rsidRDefault="003A0CD0" w:rsidP="00DA5AE3">
      <w:pPr>
        <w:pStyle w:val="Normal1"/>
        <w:spacing w:after="120"/>
        <w:rPr>
          <w:rFonts w:ascii="Trebuchet MS" w:eastAsia="Cambria" w:hAnsi="Trebuchet MS"/>
          <w:sz w:val="24"/>
          <w:highlight w:val="white"/>
        </w:rPr>
      </w:pPr>
    </w:p>
    <w:p w14:paraId="6011CFDC" w14:textId="77777777" w:rsidR="00B54EE0" w:rsidRPr="00492095" w:rsidRDefault="00B54EE0" w:rsidP="00DA5AE3">
      <w:pPr>
        <w:pStyle w:val="Heading1"/>
        <w:spacing w:before="0" w:after="120" w:line="276" w:lineRule="auto"/>
        <w:rPr>
          <w:rFonts w:ascii="Trebuchet MS" w:hAnsi="Trebuchet MS" w:cs="Arial"/>
        </w:rPr>
      </w:pPr>
      <w:bookmarkStart w:id="5" w:name="_Toc266201040"/>
      <w:r w:rsidRPr="00492095">
        <w:rPr>
          <w:rFonts w:ascii="Trebuchet MS" w:hAnsi="Trebuchet MS" w:cs="Arial"/>
          <w:highlight w:val="white"/>
        </w:rPr>
        <w:t>Units of analysis</w:t>
      </w:r>
      <w:bookmarkEnd w:id="5"/>
      <w:r w:rsidRPr="00492095">
        <w:rPr>
          <w:rFonts w:ascii="Trebuchet MS" w:hAnsi="Trebuchet MS" w:cs="Arial"/>
          <w:highlight w:val="white"/>
        </w:rPr>
        <w:t xml:space="preserve"> </w:t>
      </w:r>
    </w:p>
    <w:p w14:paraId="266026C8" w14:textId="15E6AAA0" w:rsidR="00B54EE0" w:rsidRPr="00492095" w:rsidRDefault="00A81A5A" w:rsidP="00DA5AE3">
      <w:pPr>
        <w:pStyle w:val="Normal1"/>
        <w:spacing w:after="120"/>
        <w:rPr>
          <w:rFonts w:ascii="Trebuchet MS" w:eastAsia="Cambria" w:hAnsi="Trebuchet MS"/>
          <w:sz w:val="24"/>
        </w:rPr>
      </w:pPr>
      <w:r w:rsidRPr="00492095">
        <w:rPr>
          <w:rFonts w:ascii="Trebuchet MS" w:eastAsia="Cambria" w:hAnsi="Trebuchet MS"/>
          <w:b/>
          <w:noProof/>
          <w:sz w:val="24"/>
          <w:lang w:eastAsia="en-US"/>
        </w:rPr>
        <mc:AlternateContent>
          <mc:Choice Requires="wps">
            <w:drawing>
              <wp:anchor distT="0" distB="0" distL="114300" distR="114300" simplePos="0" relativeHeight="251666432" behindDoc="0" locked="0" layoutInCell="1" allowOverlap="1" wp14:anchorId="1C1F7D04" wp14:editId="7E7F19B0">
                <wp:simplePos x="0" y="0"/>
                <wp:positionH relativeFrom="column">
                  <wp:posOffset>2400300</wp:posOffset>
                </wp:positionH>
                <wp:positionV relativeFrom="paragraph">
                  <wp:posOffset>589915</wp:posOffset>
                </wp:positionV>
                <wp:extent cx="3663315" cy="2679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3663315" cy="2679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B47872" w14:textId="77777777" w:rsidR="00190FCA" w:rsidRDefault="00190FCA" w:rsidP="00226F21">
                            <w:r>
                              <w:rPr>
                                <w:noProof/>
                              </w:rPr>
                              <w:drawing>
                                <wp:inline distT="0" distB="0" distL="0" distR="0" wp14:anchorId="2F7D7173" wp14:editId="7A761FEA">
                                  <wp:extent cx="3451860" cy="2450012"/>
                                  <wp:effectExtent l="0" t="0" r="2540" b="0"/>
                                  <wp:docPr id="4" name="Picture 4" descr="Macintosh HD:Users:chriseshleman:Desktop: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eshleman:Desktop:row.pn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451860" cy="24500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189pt;margin-top:46.45pt;width:288.45pt;height:2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" filled="f" stroked="f">
                <v:textbox>
                  <w:txbxContent>
                    <w:p w14:paraId="1DB47872" w14:textId="77777777" w:rsidR="00190FCA" w:rsidRDefault="00190FCA" w:rsidP="00226F21">
                      <w:r>
                        <w:rPr>
                          <w:noProof/>
                        </w:rPr>
                        <w:drawing>
                          <wp:inline distT="0" distB="0" distL="0" distR="0" wp14:anchorId="2F7D7173" wp14:editId="7A761FEA">
                            <wp:extent cx="3451860" cy="2450012"/>
                            <wp:effectExtent l="0" t="0" r="2540" b="0"/>
                            <wp:docPr id="4" name="Picture 4" descr="Macintosh HD:Users:chriseshleman:Desktop: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eshleman:Desktop:row.pn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451860" cy="2450012"/>
                                    </a:xfrm>
                                    <a:prstGeom prst="rect">
                                      <a:avLst/>
                                    </a:prstGeom>
                                    <a:noFill/>
                                    <a:ln>
                                      <a:noFill/>
                                    </a:ln>
                                  </pic:spPr>
                                </pic:pic>
                              </a:graphicData>
                            </a:graphic>
                          </wp:inline>
                        </w:drawing>
                      </w:r>
                    </w:p>
                  </w:txbxContent>
                </v:textbox>
                <w10:wrap type="square"/>
              </v:shape>
            </w:pict>
          </mc:Fallback>
        </mc:AlternateContent>
      </w:r>
      <w:r w:rsidR="007C0BC0" w:rsidRPr="00492095">
        <w:rPr>
          <w:rFonts w:ascii="Trebuchet MS" w:eastAsia="Cambria" w:hAnsi="Trebuchet MS"/>
          <w:sz w:val="24"/>
          <w:highlight w:val="white"/>
        </w:rPr>
        <w:t xml:space="preserve">The </w:t>
      </w:r>
      <w:r w:rsidR="002B12C6">
        <w:rPr>
          <w:rFonts w:ascii="Trebuchet MS" w:eastAsia="Cambria" w:hAnsi="Trebuchet MS"/>
          <w:sz w:val="24"/>
          <w:highlight w:val="white"/>
        </w:rPr>
        <w:t>C</w:t>
      </w:r>
      <w:r w:rsidR="007C0BC0" w:rsidRPr="00492095">
        <w:rPr>
          <w:rFonts w:ascii="Trebuchet MS" w:eastAsia="Cambria" w:hAnsi="Trebuchet MS"/>
          <w:sz w:val="24"/>
          <w:highlight w:val="white"/>
        </w:rPr>
        <w:t>ity designs</w:t>
      </w:r>
      <w:r w:rsidR="00B54EE0" w:rsidRPr="00492095">
        <w:rPr>
          <w:rFonts w:ascii="Trebuchet MS" w:eastAsia="Cambria" w:hAnsi="Trebuchet MS"/>
          <w:sz w:val="24"/>
          <w:highlight w:val="white"/>
        </w:rPr>
        <w:t xml:space="preserve"> GI installation</w:t>
      </w:r>
      <w:r w:rsidR="000B7233" w:rsidRPr="00492095">
        <w:rPr>
          <w:rFonts w:ascii="Trebuchet MS" w:eastAsia="Cambria" w:hAnsi="Trebuchet MS"/>
          <w:sz w:val="24"/>
          <w:highlight w:val="white"/>
        </w:rPr>
        <w:t>s to suit</w:t>
      </w:r>
      <w:r w:rsidR="007C0BC0" w:rsidRPr="00492095">
        <w:rPr>
          <w:rFonts w:ascii="Trebuchet MS" w:eastAsia="Cambria" w:hAnsi="Trebuchet MS"/>
          <w:sz w:val="24"/>
          <w:highlight w:val="white"/>
        </w:rPr>
        <w:t xml:space="preserve"> specific area</w:t>
      </w:r>
      <w:r w:rsidR="000B7233" w:rsidRPr="00492095">
        <w:rPr>
          <w:rFonts w:ascii="Trebuchet MS" w:eastAsia="Cambria" w:hAnsi="Trebuchet MS"/>
          <w:sz w:val="24"/>
          <w:highlight w:val="white"/>
        </w:rPr>
        <w:t>s</w:t>
      </w:r>
      <w:r w:rsidR="007C0BC0" w:rsidRPr="00492095">
        <w:rPr>
          <w:rFonts w:ascii="Trebuchet MS" w:eastAsia="Cambria" w:hAnsi="Trebuchet MS"/>
          <w:sz w:val="24"/>
          <w:highlight w:val="white"/>
        </w:rPr>
        <w:t xml:space="preserve"> — </w:t>
      </w:r>
      <w:r w:rsidR="00D25BDC" w:rsidRPr="00492095">
        <w:rPr>
          <w:rFonts w:ascii="Trebuchet MS" w:eastAsia="Cambria" w:hAnsi="Trebuchet MS"/>
          <w:sz w:val="24"/>
          <w:highlight w:val="white"/>
        </w:rPr>
        <w:t xml:space="preserve">a catchment area, or tributary — </w:t>
      </w:r>
      <w:r w:rsidR="002B12C6">
        <w:rPr>
          <w:rFonts w:ascii="Trebuchet MS" w:eastAsia="Cambria" w:hAnsi="Trebuchet MS"/>
          <w:sz w:val="24"/>
          <w:highlight w:val="white"/>
        </w:rPr>
        <w:t>where storm water</w:t>
      </w:r>
      <w:r w:rsidR="007C0BC0" w:rsidRPr="00492095">
        <w:rPr>
          <w:rFonts w:ascii="Trebuchet MS" w:eastAsia="Cambria" w:hAnsi="Trebuchet MS"/>
          <w:sz w:val="24"/>
          <w:highlight w:val="white"/>
        </w:rPr>
        <w:t xml:space="preserve"> drains to</w:t>
      </w:r>
      <w:r w:rsidR="002B12C6">
        <w:rPr>
          <w:rFonts w:ascii="Trebuchet MS" w:eastAsia="Cambria" w:hAnsi="Trebuchet MS"/>
          <w:sz w:val="24"/>
          <w:highlight w:val="white"/>
        </w:rPr>
        <w:t>ward</w:t>
      </w:r>
      <w:r w:rsidR="007C0BC0" w:rsidRPr="00492095">
        <w:rPr>
          <w:rFonts w:ascii="Trebuchet MS" w:eastAsia="Cambria" w:hAnsi="Trebuchet MS"/>
          <w:sz w:val="24"/>
          <w:highlight w:val="white"/>
        </w:rPr>
        <w:t xml:space="preserve"> a </w:t>
      </w:r>
      <w:r w:rsidR="002B12C6">
        <w:rPr>
          <w:rFonts w:ascii="Trebuchet MS" w:eastAsia="Cambria" w:hAnsi="Trebuchet MS"/>
          <w:sz w:val="24"/>
          <w:highlight w:val="white"/>
        </w:rPr>
        <w:t xml:space="preserve">low point, the common location for a curb </w:t>
      </w:r>
      <w:r w:rsidR="007C0BC0" w:rsidRPr="00492095">
        <w:rPr>
          <w:rFonts w:ascii="Trebuchet MS" w:eastAsia="Cambria" w:hAnsi="Trebuchet MS"/>
          <w:sz w:val="24"/>
          <w:highlight w:val="white"/>
        </w:rPr>
        <w:t>drain</w:t>
      </w:r>
      <w:r w:rsidR="00B54EE0" w:rsidRPr="00492095">
        <w:rPr>
          <w:rFonts w:ascii="Trebuchet MS" w:eastAsia="Cambria" w:hAnsi="Trebuchet MS"/>
          <w:sz w:val="24"/>
          <w:highlight w:val="white"/>
        </w:rPr>
        <w:t xml:space="preserve">. </w:t>
      </w:r>
      <w:r w:rsidR="002B12C6">
        <w:rPr>
          <w:rFonts w:ascii="Trebuchet MS" w:eastAsia="Cambria" w:hAnsi="Trebuchet MS"/>
          <w:sz w:val="24"/>
          <w:highlight w:val="white"/>
        </w:rPr>
        <w:t>(P</w:t>
      </w:r>
      <w:r w:rsidR="00B54EE0" w:rsidRPr="00492095">
        <w:rPr>
          <w:rFonts w:ascii="Trebuchet MS" w:eastAsia="Cambria" w:hAnsi="Trebuchet MS"/>
          <w:sz w:val="24"/>
          <w:highlight w:val="white"/>
        </w:rPr>
        <w:t xml:space="preserve">hysics dictate that rainwater across a given catchment area will flow to </w:t>
      </w:r>
      <w:r w:rsidR="002B12C6">
        <w:rPr>
          <w:rFonts w:ascii="Trebuchet MS" w:eastAsia="Cambria" w:hAnsi="Trebuchet MS"/>
          <w:sz w:val="24"/>
          <w:highlight w:val="white"/>
        </w:rPr>
        <w:t>those</w:t>
      </w:r>
      <w:r w:rsidR="00B54EE0" w:rsidRPr="00492095">
        <w:rPr>
          <w:rFonts w:ascii="Trebuchet MS" w:eastAsia="Cambria" w:hAnsi="Trebuchet MS"/>
          <w:sz w:val="24"/>
          <w:highlight w:val="white"/>
        </w:rPr>
        <w:t xml:space="preserve"> low point</w:t>
      </w:r>
      <w:r w:rsidR="002B12C6">
        <w:rPr>
          <w:rFonts w:ascii="Trebuchet MS" w:eastAsia="Cambria" w:hAnsi="Trebuchet MS"/>
          <w:sz w:val="24"/>
          <w:highlight w:val="white"/>
        </w:rPr>
        <w:t>s.) T</w:t>
      </w:r>
      <w:r w:rsidR="00B54EE0" w:rsidRPr="00492095">
        <w:rPr>
          <w:rFonts w:ascii="Trebuchet MS" w:eastAsia="Cambria" w:hAnsi="Trebuchet MS"/>
          <w:sz w:val="24"/>
          <w:highlight w:val="white"/>
        </w:rPr>
        <w:t xml:space="preserve">he </w:t>
      </w:r>
      <w:r w:rsidR="002B12C6">
        <w:rPr>
          <w:rFonts w:ascii="Trebuchet MS" w:eastAsia="Cambria" w:hAnsi="Trebuchet MS"/>
          <w:sz w:val="24"/>
          <w:highlight w:val="white"/>
        </w:rPr>
        <w:t>C</w:t>
      </w:r>
      <w:r w:rsidR="00B54EE0" w:rsidRPr="00492095">
        <w:rPr>
          <w:rFonts w:ascii="Trebuchet MS" w:eastAsia="Cambria" w:hAnsi="Trebuchet MS"/>
          <w:sz w:val="24"/>
          <w:highlight w:val="white"/>
        </w:rPr>
        <w:t xml:space="preserve">ity locates its GI </w:t>
      </w:r>
      <w:r w:rsidR="000B7233" w:rsidRPr="00492095">
        <w:rPr>
          <w:rFonts w:ascii="Trebuchet MS" w:eastAsia="Cambria" w:hAnsi="Trebuchet MS"/>
          <w:sz w:val="24"/>
          <w:highlight w:val="white"/>
        </w:rPr>
        <w:t>installations</w:t>
      </w:r>
      <w:r w:rsidR="00B54EE0" w:rsidRPr="00492095">
        <w:rPr>
          <w:rFonts w:ascii="Trebuchet MS" w:eastAsia="Cambria" w:hAnsi="Trebuchet MS"/>
          <w:sz w:val="24"/>
          <w:highlight w:val="white"/>
        </w:rPr>
        <w:t xml:space="preserve">, such as </w:t>
      </w:r>
      <w:proofErr w:type="spellStart"/>
      <w:r w:rsidR="00B54EE0" w:rsidRPr="00492095">
        <w:rPr>
          <w:rFonts w:ascii="Trebuchet MS" w:eastAsia="Cambria" w:hAnsi="Trebuchet MS"/>
          <w:sz w:val="24"/>
          <w:highlight w:val="white"/>
        </w:rPr>
        <w:t>bioswales</w:t>
      </w:r>
      <w:proofErr w:type="spellEnd"/>
      <w:r w:rsidR="00B54EE0" w:rsidRPr="00492095">
        <w:rPr>
          <w:rFonts w:ascii="Trebuchet MS" w:eastAsia="Cambria" w:hAnsi="Trebuchet MS"/>
          <w:sz w:val="24"/>
          <w:highlight w:val="white"/>
        </w:rPr>
        <w:t xml:space="preserve"> or permeable pavement installations, </w:t>
      </w:r>
      <w:r w:rsidR="000B7233" w:rsidRPr="00492095">
        <w:rPr>
          <w:rFonts w:ascii="Trebuchet MS" w:eastAsia="Cambria" w:hAnsi="Trebuchet MS"/>
          <w:sz w:val="24"/>
          <w:highlight w:val="white"/>
        </w:rPr>
        <w:t>at those points</w:t>
      </w:r>
      <w:r w:rsidR="002B12C6">
        <w:rPr>
          <w:rFonts w:ascii="Trebuchet MS" w:eastAsia="Cambria" w:hAnsi="Trebuchet MS"/>
          <w:sz w:val="24"/>
          <w:highlight w:val="white"/>
        </w:rPr>
        <w:t>. T</w:t>
      </w:r>
      <w:r w:rsidR="00B54EE0" w:rsidRPr="00492095">
        <w:rPr>
          <w:rFonts w:ascii="Trebuchet MS" w:eastAsia="Cambria" w:hAnsi="Trebuchet MS"/>
          <w:sz w:val="24"/>
          <w:highlight w:val="white"/>
        </w:rPr>
        <w:t xml:space="preserve">hey will </w:t>
      </w:r>
      <w:r w:rsidR="002B12C6">
        <w:rPr>
          <w:rFonts w:ascii="Trebuchet MS" w:eastAsia="Cambria" w:hAnsi="Trebuchet MS"/>
          <w:sz w:val="24"/>
          <w:highlight w:val="white"/>
        </w:rPr>
        <w:lastRenderedPageBreak/>
        <w:t>thus</w:t>
      </w:r>
      <w:r w:rsidR="00B54EE0" w:rsidRPr="00492095">
        <w:rPr>
          <w:rFonts w:ascii="Trebuchet MS" w:eastAsia="Cambria" w:hAnsi="Trebuchet MS"/>
          <w:sz w:val="24"/>
          <w:highlight w:val="white"/>
        </w:rPr>
        <w:t xml:space="preserve"> capture </w:t>
      </w:r>
      <w:r w:rsidR="002B12C6">
        <w:rPr>
          <w:rFonts w:ascii="Trebuchet MS" w:eastAsia="Cambria" w:hAnsi="Trebuchet MS"/>
          <w:sz w:val="24"/>
          <w:highlight w:val="white"/>
        </w:rPr>
        <w:t xml:space="preserve">the most </w:t>
      </w:r>
      <w:r w:rsidR="00B54EE0" w:rsidRPr="00492095">
        <w:rPr>
          <w:rFonts w:ascii="Trebuchet MS" w:eastAsia="Cambria" w:hAnsi="Trebuchet MS"/>
          <w:sz w:val="24"/>
          <w:highlight w:val="white"/>
        </w:rPr>
        <w:t>storm</w:t>
      </w:r>
      <w:r w:rsidR="000B7233" w:rsidRPr="00492095">
        <w:rPr>
          <w:rFonts w:ascii="Trebuchet MS" w:eastAsia="Cambria" w:hAnsi="Trebuchet MS"/>
          <w:sz w:val="24"/>
          <w:highlight w:val="white"/>
        </w:rPr>
        <w:t xml:space="preserve"> water</w:t>
      </w:r>
      <w:r w:rsidR="002B12C6">
        <w:rPr>
          <w:rFonts w:ascii="Trebuchet MS" w:eastAsia="Cambria" w:hAnsi="Trebuchet MS"/>
          <w:sz w:val="24"/>
          <w:highlight w:val="white"/>
        </w:rPr>
        <w:t xml:space="preserve"> per dollar spent</w:t>
      </w:r>
      <w:r w:rsidR="000B7233" w:rsidRPr="00492095">
        <w:rPr>
          <w:rFonts w:ascii="Trebuchet MS" w:eastAsia="Cambria" w:hAnsi="Trebuchet MS"/>
          <w:sz w:val="24"/>
          <w:highlight w:val="white"/>
        </w:rPr>
        <w:t>.</w:t>
      </w:r>
    </w:p>
    <w:p w14:paraId="51BC83CC" w14:textId="5039E093" w:rsidR="00B54EE0" w:rsidRPr="00492095" w:rsidRDefault="00A81A5A" w:rsidP="00DA5AE3">
      <w:pPr>
        <w:pStyle w:val="Normal1"/>
        <w:spacing w:after="120"/>
        <w:rPr>
          <w:rFonts w:ascii="Trebuchet MS" w:hAnsi="Trebuchet MS"/>
          <w:sz w:val="24"/>
        </w:rPr>
      </w:pPr>
      <w:r w:rsidRPr="00492095">
        <w:rPr>
          <w:rFonts w:ascii="Trebuchet MS" w:eastAsia="Cambria" w:hAnsi="Trebuchet MS"/>
          <w:noProof/>
          <w:sz w:val="24"/>
          <w:lang w:eastAsia="en-US"/>
        </w:rPr>
        <mc:AlternateContent>
          <mc:Choice Requires="wps">
            <w:drawing>
              <wp:anchor distT="0" distB="0" distL="114300" distR="114300" simplePos="0" relativeHeight="251673600" behindDoc="0" locked="0" layoutInCell="1" allowOverlap="1" wp14:anchorId="21D74E39" wp14:editId="627AF5F3">
                <wp:simplePos x="0" y="0"/>
                <wp:positionH relativeFrom="column">
                  <wp:posOffset>2400300</wp:posOffset>
                </wp:positionH>
                <wp:positionV relativeFrom="paragraph">
                  <wp:posOffset>904240</wp:posOffset>
                </wp:positionV>
                <wp:extent cx="3657600" cy="17145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36576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035723" w14:textId="1F6C916A" w:rsidR="00190FCA" w:rsidRPr="00492095" w:rsidRDefault="00190FCA" w:rsidP="00AF14F6">
                            <w:pPr>
                              <w:rPr>
                                <w:rFonts w:ascii="Trebuchet MS" w:hAnsi="Trebuchet MS"/>
                                <w:i/>
                                <w:color w:val="808080" w:themeColor="background1" w:themeShade="80"/>
                                <w:sz w:val="20"/>
                                <w:szCs w:val="20"/>
                              </w:rPr>
                            </w:pPr>
                            <w:r>
                              <w:rPr>
                                <w:rFonts w:ascii="Trebuchet MS" w:hAnsi="Trebuchet MS"/>
                                <w:i/>
                                <w:color w:val="808080" w:themeColor="background1" w:themeShade="80"/>
                                <w:sz w:val="20"/>
                                <w:szCs w:val="20"/>
                              </w:rPr>
                              <w:t xml:space="preserve">Many of the City’s green infrastructure alternatives focus on water in the right of way. </w:t>
                            </w:r>
                            <w:proofErr w:type="gramStart"/>
                            <w:r>
                              <w:rPr>
                                <w:rFonts w:ascii="Trebuchet MS" w:hAnsi="Trebuchet MS"/>
                                <w:i/>
                                <w:color w:val="808080" w:themeColor="background1" w:themeShade="80"/>
                                <w:sz w:val="20"/>
                                <w:szCs w:val="20"/>
                              </w:rPr>
                              <w:t xml:space="preserve">Above, a typical position for right-of-way </w:t>
                            </w:r>
                            <w:proofErr w:type="spellStart"/>
                            <w:r>
                              <w:rPr>
                                <w:rFonts w:ascii="Trebuchet MS" w:hAnsi="Trebuchet MS"/>
                                <w:i/>
                                <w:color w:val="808080" w:themeColor="background1" w:themeShade="80"/>
                                <w:sz w:val="20"/>
                                <w:szCs w:val="20"/>
                              </w:rPr>
                              <w:t>bioswales</w:t>
                            </w:r>
                            <w:proofErr w:type="spellEnd"/>
                            <w:r>
                              <w:rPr>
                                <w:rFonts w:ascii="Trebuchet MS" w:hAnsi="Trebuchet MS"/>
                                <w:i/>
                                <w:color w:val="808080" w:themeColor="background1" w:themeShade="80"/>
                                <w:sz w:val="20"/>
                                <w:szCs w:val="20"/>
                              </w:rPr>
                              <w:t>.</w:t>
                            </w:r>
                            <w:proofErr w:type="gramEnd"/>
                            <w:r>
                              <w:rPr>
                                <w:rFonts w:ascii="Trebuchet MS" w:hAnsi="Trebuchet MS"/>
                                <w:i/>
                                <w:color w:val="808080" w:themeColor="background1" w:themeShade="80"/>
                                <w:sz w:val="20"/>
                                <w:szCs w:val="20"/>
                              </w:rPr>
                              <w:t xml:space="preserve"> (From NYC DOT, via DEP’s Green Infrastructure 2013 Annual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89pt;margin-top:71.2pt;width:4in;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" filled="f" stroked="f">
                <v:textbox>
                  <w:txbxContent>
                    <w:p w14:paraId="60035723" w14:textId="1F6C916A" w:rsidR="00190FCA" w:rsidRPr="00492095" w:rsidRDefault="00190FCA" w:rsidP="00AF14F6">
                      <w:pPr>
                        <w:rPr>
                          <w:rFonts w:ascii="Trebuchet MS" w:hAnsi="Trebuchet MS"/>
                          <w:i/>
                          <w:color w:val="808080" w:themeColor="background1" w:themeShade="80"/>
                          <w:sz w:val="20"/>
                          <w:szCs w:val="20"/>
                        </w:rPr>
                      </w:pPr>
                      <w:r>
                        <w:rPr>
                          <w:rFonts w:ascii="Trebuchet MS" w:hAnsi="Trebuchet MS"/>
                          <w:i/>
                          <w:color w:val="808080" w:themeColor="background1" w:themeShade="80"/>
                          <w:sz w:val="20"/>
                          <w:szCs w:val="20"/>
                        </w:rPr>
                        <w:t xml:space="preserve">Many of the City’s green infrastructure alternatives focus on water in the right of way. </w:t>
                      </w:r>
                      <w:proofErr w:type="gramStart"/>
                      <w:r>
                        <w:rPr>
                          <w:rFonts w:ascii="Trebuchet MS" w:hAnsi="Trebuchet MS"/>
                          <w:i/>
                          <w:color w:val="808080" w:themeColor="background1" w:themeShade="80"/>
                          <w:sz w:val="20"/>
                          <w:szCs w:val="20"/>
                        </w:rPr>
                        <w:t xml:space="preserve">Above, a typical position for right-of-way </w:t>
                      </w:r>
                      <w:proofErr w:type="spellStart"/>
                      <w:r>
                        <w:rPr>
                          <w:rFonts w:ascii="Trebuchet MS" w:hAnsi="Trebuchet MS"/>
                          <w:i/>
                          <w:color w:val="808080" w:themeColor="background1" w:themeShade="80"/>
                          <w:sz w:val="20"/>
                          <w:szCs w:val="20"/>
                        </w:rPr>
                        <w:t>bioswales</w:t>
                      </w:r>
                      <w:proofErr w:type="spellEnd"/>
                      <w:r>
                        <w:rPr>
                          <w:rFonts w:ascii="Trebuchet MS" w:hAnsi="Trebuchet MS"/>
                          <w:i/>
                          <w:color w:val="808080" w:themeColor="background1" w:themeShade="80"/>
                          <w:sz w:val="20"/>
                          <w:szCs w:val="20"/>
                        </w:rPr>
                        <w:t>.</w:t>
                      </w:r>
                      <w:proofErr w:type="gramEnd"/>
                      <w:r>
                        <w:rPr>
                          <w:rFonts w:ascii="Trebuchet MS" w:hAnsi="Trebuchet MS"/>
                          <w:i/>
                          <w:color w:val="808080" w:themeColor="background1" w:themeShade="80"/>
                          <w:sz w:val="20"/>
                          <w:szCs w:val="20"/>
                        </w:rPr>
                        <w:t xml:space="preserve"> (From NYC DOT, via DEP’s Green Infrastructure 2013 Annual Report.) </w:t>
                      </w:r>
                    </w:p>
                  </w:txbxContent>
                </v:textbox>
                <w10:wrap type="square"/>
              </v:shape>
            </w:pict>
          </mc:Fallback>
        </mc:AlternateContent>
      </w:r>
      <w:r w:rsidR="00B54EE0" w:rsidRPr="00492095">
        <w:rPr>
          <w:rFonts w:ascii="Trebuchet MS" w:eastAsia="Cambria" w:hAnsi="Trebuchet MS"/>
          <w:sz w:val="24"/>
          <w:highlight w:val="white"/>
        </w:rPr>
        <w:t xml:space="preserve">The size of a given catchment area appears to be the biggest determinant </w:t>
      </w:r>
      <w:r w:rsidR="00B52605">
        <w:rPr>
          <w:rFonts w:ascii="Trebuchet MS" w:eastAsia="Cambria" w:hAnsi="Trebuchet MS"/>
          <w:sz w:val="24"/>
          <w:highlight w:val="white"/>
        </w:rPr>
        <w:t>as</w:t>
      </w:r>
      <w:r w:rsidR="00B54EE0" w:rsidRPr="00492095">
        <w:rPr>
          <w:rFonts w:ascii="Trebuchet MS" w:eastAsia="Cambria" w:hAnsi="Trebuchet MS"/>
          <w:sz w:val="24"/>
          <w:highlight w:val="white"/>
        </w:rPr>
        <w:t xml:space="preserve"> public engineers</w:t>
      </w:r>
      <w:r w:rsidR="002B12C6">
        <w:rPr>
          <w:rFonts w:ascii="Trebuchet MS" w:eastAsia="Cambria" w:hAnsi="Trebuchet MS"/>
          <w:sz w:val="24"/>
          <w:highlight w:val="white"/>
        </w:rPr>
        <w:t>’</w:t>
      </w:r>
      <w:r w:rsidR="00B54EE0" w:rsidRPr="00492095">
        <w:rPr>
          <w:rFonts w:ascii="Trebuchet MS" w:eastAsia="Cambria" w:hAnsi="Trebuchet MS"/>
          <w:sz w:val="24"/>
          <w:highlight w:val="white"/>
        </w:rPr>
        <w:t xml:space="preserve"> design installations. That is, the design of a given </w:t>
      </w:r>
      <w:proofErr w:type="spellStart"/>
      <w:r w:rsidR="00B54EE0" w:rsidRPr="00492095">
        <w:rPr>
          <w:rFonts w:ascii="Trebuchet MS" w:eastAsia="Cambria" w:hAnsi="Trebuchet MS"/>
          <w:sz w:val="24"/>
          <w:highlight w:val="white"/>
        </w:rPr>
        <w:t>bioswale</w:t>
      </w:r>
      <w:proofErr w:type="spellEnd"/>
      <w:r w:rsidR="00B54EE0" w:rsidRPr="00492095">
        <w:rPr>
          <w:rFonts w:ascii="Trebuchet MS" w:eastAsia="Cambria" w:hAnsi="Trebuchet MS"/>
          <w:sz w:val="24"/>
          <w:highlight w:val="white"/>
        </w:rPr>
        <w:t xml:space="preserve"> or pavement installation is determined in large part by the size of a given location’s relevant catchment area. City agencies calculate the appropriate installation size using </w:t>
      </w:r>
      <w:r w:rsidR="00B52605">
        <w:rPr>
          <w:rFonts w:ascii="Trebuchet MS" w:eastAsia="Cambria" w:hAnsi="Trebuchet MS"/>
          <w:sz w:val="24"/>
          <w:highlight w:val="white"/>
        </w:rPr>
        <w:t xml:space="preserve">Microsoft </w:t>
      </w:r>
      <w:r w:rsidR="00B54EE0" w:rsidRPr="00492095">
        <w:rPr>
          <w:rFonts w:ascii="Trebuchet MS" w:eastAsia="Cambria" w:hAnsi="Trebuchet MS"/>
          <w:sz w:val="24"/>
          <w:highlight w:val="white"/>
        </w:rPr>
        <w:t>Excel</w:t>
      </w:r>
      <w:r w:rsidR="00B52605">
        <w:rPr>
          <w:rFonts w:ascii="Trebuchet MS" w:eastAsia="Cambria" w:hAnsi="Trebuchet MS"/>
          <w:sz w:val="24"/>
          <w:highlight w:val="white"/>
        </w:rPr>
        <w:t>-based</w:t>
      </w:r>
      <w:r w:rsidR="00B54EE0" w:rsidRPr="00492095">
        <w:rPr>
          <w:rFonts w:ascii="Trebuchet MS" w:eastAsia="Cambria" w:hAnsi="Trebuchet MS"/>
          <w:sz w:val="24"/>
          <w:highlight w:val="white"/>
        </w:rPr>
        <w:t xml:space="preserve"> </w:t>
      </w:r>
      <w:r w:rsidR="000B7233" w:rsidRPr="00492095">
        <w:rPr>
          <w:rFonts w:ascii="Trebuchet MS" w:eastAsia="Cambria" w:hAnsi="Trebuchet MS"/>
          <w:sz w:val="24"/>
          <w:highlight w:val="white"/>
        </w:rPr>
        <w:t>“calculator</w:t>
      </w:r>
      <w:r w:rsidR="00B52605">
        <w:rPr>
          <w:rFonts w:ascii="Trebuchet MS" w:eastAsia="Cambria" w:hAnsi="Trebuchet MS"/>
          <w:sz w:val="24"/>
          <w:highlight w:val="white"/>
        </w:rPr>
        <w:t>s</w:t>
      </w:r>
      <w:r w:rsidR="000B7233" w:rsidRPr="00492095">
        <w:rPr>
          <w:rFonts w:ascii="Trebuchet MS" w:eastAsia="Cambria" w:hAnsi="Trebuchet MS"/>
          <w:sz w:val="24"/>
          <w:highlight w:val="white"/>
        </w:rPr>
        <w:t>.</w:t>
      </w:r>
      <w:r w:rsidR="00B52605">
        <w:rPr>
          <w:rFonts w:ascii="Trebuchet MS" w:eastAsia="Cambria" w:hAnsi="Trebuchet MS"/>
          <w:sz w:val="24"/>
          <w:highlight w:val="white"/>
        </w:rPr>
        <w:t>”</w:t>
      </w:r>
      <w:r w:rsidR="000B7233" w:rsidRPr="00492095">
        <w:rPr>
          <w:rFonts w:ascii="Trebuchet MS" w:eastAsia="Cambria" w:hAnsi="Trebuchet MS"/>
          <w:sz w:val="24"/>
          <w:highlight w:val="white"/>
        </w:rPr>
        <w:t xml:space="preserve"> Those models appear</w:t>
      </w:r>
      <w:r w:rsidR="00B54EE0" w:rsidRPr="00492095">
        <w:rPr>
          <w:rFonts w:ascii="Trebuchet MS" w:eastAsia="Cambria" w:hAnsi="Trebuchet MS"/>
          <w:sz w:val="24"/>
          <w:highlight w:val="white"/>
        </w:rPr>
        <w:t xml:space="preserve"> </w:t>
      </w:r>
      <w:r w:rsidR="00B52605">
        <w:rPr>
          <w:rFonts w:ascii="Trebuchet MS" w:eastAsia="Cambria" w:hAnsi="Trebuchet MS"/>
          <w:sz w:val="24"/>
          <w:highlight w:val="white"/>
        </w:rPr>
        <w:t xml:space="preserve">to be </w:t>
      </w:r>
      <w:r w:rsidR="00B54EE0" w:rsidRPr="00492095">
        <w:rPr>
          <w:rFonts w:ascii="Trebuchet MS" w:eastAsia="Cambria" w:hAnsi="Trebuchet MS"/>
          <w:sz w:val="24"/>
          <w:highlight w:val="white"/>
        </w:rPr>
        <w:t xml:space="preserve">quite similar </w:t>
      </w:r>
      <w:r w:rsidR="000B7233" w:rsidRPr="00492095">
        <w:rPr>
          <w:rFonts w:ascii="Trebuchet MS" w:eastAsia="Cambria" w:hAnsi="Trebuchet MS"/>
          <w:sz w:val="24"/>
          <w:highlight w:val="white"/>
        </w:rPr>
        <w:t xml:space="preserve">across agencies, </w:t>
      </w:r>
      <w:r w:rsidR="00B54EE0" w:rsidRPr="00492095">
        <w:rPr>
          <w:rFonts w:ascii="Trebuchet MS" w:eastAsia="Cambria" w:hAnsi="Trebuchet MS"/>
          <w:sz w:val="24"/>
          <w:highlight w:val="white"/>
        </w:rPr>
        <w:t xml:space="preserve">whether the </w:t>
      </w:r>
      <w:r w:rsidR="000B7233" w:rsidRPr="00492095">
        <w:rPr>
          <w:rFonts w:ascii="Trebuchet MS" w:eastAsia="Cambria" w:hAnsi="Trebuchet MS"/>
          <w:sz w:val="24"/>
          <w:highlight w:val="white"/>
        </w:rPr>
        <w:t xml:space="preserve">proposed </w:t>
      </w:r>
      <w:r w:rsidR="00B54EE0" w:rsidRPr="00492095">
        <w:rPr>
          <w:rFonts w:ascii="Trebuchet MS" w:eastAsia="Cambria" w:hAnsi="Trebuchet MS"/>
          <w:sz w:val="24"/>
          <w:highlight w:val="white"/>
        </w:rPr>
        <w:t xml:space="preserve">installation in question is pavement or a </w:t>
      </w:r>
      <w:proofErr w:type="spellStart"/>
      <w:r w:rsidR="00B54EE0" w:rsidRPr="00492095">
        <w:rPr>
          <w:rFonts w:ascii="Trebuchet MS" w:eastAsia="Cambria" w:hAnsi="Trebuchet MS"/>
          <w:sz w:val="24"/>
          <w:highlight w:val="white"/>
        </w:rPr>
        <w:t>bioswale</w:t>
      </w:r>
      <w:proofErr w:type="spellEnd"/>
      <w:r w:rsidR="00B54EE0" w:rsidRPr="00492095">
        <w:rPr>
          <w:rFonts w:ascii="Trebuchet MS" w:eastAsia="Cambria" w:hAnsi="Trebuchet MS"/>
          <w:sz w:val="24"/>
          <w:highlight w:val="white"/>
        </w:rPr>
        <w:t xml:space="preserve">. </w:t>
      </w:r>
      <w:proofErr w:type="spellStart"/>
      <w:r w:rsidR="00B54EE0" w:rsidRPr="00492095">
        <w:rPr>
          <w:rFonts w:ascii="Trebuchet MS" w:eastAsia="Cambria" w:hAnsi="Trebuchet MS"/>
          <w:sz w:val="24"/>
          <w:highlight w:val="white"/>
        </w:rPr>
        <w:t>Bioswales</w:t>
      </w:r>
      <w:proofErr w:type="spellEnd"/>
      <w:r w:rsidR="00B54EE0" w:rsidRPr="00492095">
        <w:rPr>
          <w:rFonts w:ascii="Trebuchet MS" w:eastAsia="Cambria" w:hAnsi="Trebuchet MS"/>
          <w:sz w:val="24"/>
          <w:highlight w:val="white"/>
        </w:rPr>
        <w:t xml:space="preserve"> are commonly 100 square feet (20 feet long by five feet wide)</w:t>
      </w:r>
      <w:r w:rsidR="00B52605">
        <w:rPr>
          <w:rFonts w:ascii="Trebuchet MS" w:eastAsia="Cambria" w:hAnsi="Trebuchet MS"/>
          <w:sz w:val="24"/>
          <w:highlight w:val="white"/>
        </w:rPr>
        <w:t>, although</w:t>
      </w:r>
      <w:r w:rsidR="00B54EE0" w:rsidRPr="00492095">
        <w:rPr>
          <w:rFonts w:ascii="Trebuchet MS" w:eastAsia="Cambria" w:hAnsi="Trebuchet MS"/>
          <w:sz w:val="24"/>
          <w:highlight w:val="white"/>
        </w:rPr>
        <w:t xml:space="preserve"> </w:t>
      </w:r>
      <w:r w:rsidR="000B7233" w:rsidRPr="00492095">
        <w:rPr>
          <w:rFonts w:ascii="Trebuchet MS" w:eastAsia="Cambria" w:hAnsi="Trebuchet MS"/>
          <w:sz w:val="24"/>
          <w:highlight w:val="white"/>
        </w:rPr>
        <w:t xml:space="preserve">the </w:t>
      </w:r>
      <w:r w:rsidR="00B52605">
        <w:rPr>
          <w:rFonts w:ascii="Trebuchet MS" w:eastAsia="Cambria" w:hAnsi="Trebuchet MS"/>
          <w:sz w:val="24"/>
          <w:highlight w:val="white"/>
        </w:rPr>
        <w:t>C</w:t>
      </w:r>
      <w:r w:rsidR="000B7233" w:rsidRPr="00492095">
        <w:rPr>
          <w:rFonts w:ascii="Trebuchet MS" w:eastAsia="Cambria" w:hAnsi="Trebuchet MS"/>
          <w:sz w:val="24"/>
          <w:highlight w:val="white"/>
        </w:rPr>
        <w:t xml:space="preserve">ity has built </w:t>
      </w:r>
      <w:r w:rsidR="00B54EE0" w:rsidRPr="00492095">
        <w:rPr>
          <w:rFonts w:ascii="Trebuchet MS" w:eastAsia="Cambria" w:hAnsi="Trebuchet MS"/>
          <w:sz w:val="24"/>
          <w:highlight w:val="white"/>
        </w:rPr>
        <w:t xml:space="preserve">installations </w:t>
      </w:r>
      <w:r w:rsidR="00B52605">
        <w:rPr>
          <w:rFonts w:ascii="Trebuchet MS" w:eastAsia="Cambria" w:hAnsi="Trebuchet MS"/>
          <w:sz w:val="24"/>
          <w:highlight w:val="white"/>
        </w:rPr>
        <w:t xml:space="preserve">of </w:t>
      </w:r>
      <w:r w:rsidR="000B7233" w:rsidRPr="00492095">
        <w:rPr>
          <w:rFonts w:ascii="Trebuchet MS" w:eastAsia="Cambria" w:hAnsi="Trebuchet MS"/>
          <w:sz w:val="24"/>
          <w:highlight w:val="white"/>
        </w:rPr>
        <w:t>other sizes</w:t>
      </w:r>
      <w:r w:rsidR="00B54EE0" w:rsidRPr="00492095">
        <w:rPr>
          <w:rFonts w:ascii="Trebuchet MS" w:eastAsia="Cambria" w:hAnsi="Trebuchet MS"/>
          <w:sz w:val="24"/>
          <w:highlight w:val="white"/>
        </w:rPr>
        <w:t>.</w:t>
      </w:r>
      <w:r w:rsidR="00B52605">
        <w:rPr>
          <w:rStyle w:val="FootnoteReference"/>
          <w:rFonts w:ascii="Trebuchet MS" w:eastAsia="Cambria" w:hAnsi="Trebuchet MS"/>
          <w:sz w:val="24"/>
          <w:highlight w:val="white"/>
        </w:rPr>
        <w:footnoteReference w:id="6"/>
      </w:r>
      <w:r w:rsidR="00226F21" w:rsidRPr="00226F21">
        <w:rPr>
          <w:rFonts w:ascii="Trebuchet MS" w:eastAsia="Cambria" w:hAnsi="Trebuchet MS"/>
          <w:b/>
          <w:noProof/>
          <w:sz w:val="24"/>
          <w:lang w:eastAsia="en-US"/>
        </w:rPr>
        <w:t xml:space="preserve"> </w:t>
      </w:r>
    </w:p>
    <w:p w14:paraId="3CA3417F" w14:textId="4A69A3C1" w:rsidR="00B52605" w:rsidRPr="00492095" w:rsidRDefault="00B54EE0" w:rsidP="00DA5AE3">
      <w:pPr>
        <w:pStyle w:val="Normal1"/>
        <w:spacing w:after="120"/>
        <w:rPr>
          <w:rFonts w:ascii="Trebuchet MS" w:eastAsia="Cambria" w:hAnsi="Trebuchet MS"/>
          <w:sz w:val="24"/>
        </w:rPr>
      </w:pPr>
      <w:r w:rsidRPr="00492095">
        <w:rPr>
          <w:rFonts w:ascii="Trebuchet MS" w:eastAsia="Cambria" w:hAnsi="Trebuchet MS"/>
          <w:highlight w:val="white"/>
        </w:rPr>
        <w:t xml:space="preserve">The level of storm discussed </w:t>
      </w:r>
      <w:r w:rsidR="00B52605">
        <w:rPr>
          <w:rFonts w:ascii="Trebuchet MS" w:eastAsia="Cambria" w:hAnsi="Trebuchet MS"/>
          <w:sz w:val="24"/>
          <w:highlight w:val="white"/>
        </w:rPr>
        <w:t>throughout</w:t>
      </w:r>
      <w:r w:rsidRPr="00492095">
        <w:rPr>
          <w:rFonts w:ascii="Trebuchet MS" w:eastAsia="Cambria" w:hAnsi="Trebuchet MS"/>
          <w:highlight w:val="white"/>
        </w:rPr>
        <w:t xml:space="preserve"> this project is a one-inch rainfall event — not big enough to compare with majo</w:t>
      </w:r>
      <w:r w:rsidR="000B7233" w:rsidRPr="00492095">
        <w:rPr>
          <w:rFonts w:ascii="Trebuchet MS" w:eastAsia="Cambria" w:hAnsi="Trebuchet MS"/>
          <w:highlight w:val="white"/>
        </w:rPr>
        <w:t>r storms, but larger than most.</w:t>
      </w:r>
      <w:r w:rsidR="000B7233" w:rsidRPr="00492095">
        <w:rPr>
          <w:rFonts w:ascii="Trebuchet MS" w:eastAsia="Cambria" w:hAnsi="Trebuchet MS"/>
        </w:rPr>
        <w:t xml:space="preserve"> For context, </w:t>
      </w:r>
      <w:r w:rsidR="000B7233" w:rsidRPr="00492095">
        <w:rPr>
          <w:rFonts w:ascii="Trebuchet MS" w:hAnsi="Trebuchet MS"/>
        </w:rPr>
        <w:t>an</w:t>
      </w:r>
      <w:r w:rsidR="008B2BB0" w:rsidRPr="00492095">
        <w:rPr>
          <w:rFonts w:ascii="Trebuchet MS" w:hAnsi="Trebuchet MS"/>
        </w:rPr>
        <w:t xml:space="preserve"> average year </w:t>
      </w:r>
      <w:r w:rsidR="000B7233" w:rsidRPr="00492095">
        <w:rPr>
          <w:rFonts w:ascii="Trebuchet MS" w:hAnsi="Trebuchet MS"/>
        </w:rPr>
        <w:t>between 1981 and 2010 saw only 14 days of more than one inch of</w:t>
      </w:r>
      <w:r w:rsidR="008B2BB0" w:rsidRPr="00492095">
        <w:rPr>
          <w:rFonts w:ascii="Trebuchet MS" w:hAnsi="Trebuchet MS"/>
        </w:rPr>
        <w:t xml:space="preserve"> precipitation </w:t>
      </w:r>
      <w:r w:rsidR="00866D16" w:rsidRPr="00492095">
        <w:rPr>
          <w:rFonts w:ascii="Trebuchet MS" w:hAnsi="Trebuchet MS"/>
        </w:rPr>
        <w:t>(Environmental Protection</w:t>
      </w:r>
      <w:r w:rsidR="000B7233" w:rsidRPr="00492095">
        <w:rPr>
          <w:rFonts w:ascii="Trebuchet MS" w:hAnsi="Trebuchet MS"/>
        </w:rPr>
        <w:t>, 2011).</w:t>
      </w:r>
    </w:p>
    <w:p w14:paraId="19C0986C" w14:textId="77777777" w:rsidR="00B54EE0" w:rsidRPr="00492095" w:rsidRDefault="00B54EE0" w:rsidP="00DA5AE3">
      <w:pPr>
        <w:pStyle w:val="Normal1"/>
        <w:spacing w:after="120"/>
        <w:rPr>
          <w:rFonts w:ascii="Trebuchet MS" w:hAnsi="Trebuchet MS"/>
          <w:sz w:val="24"/>
        </w:rPr>
      </w:pPr>
    </w:p>
    <w:p w14:paraId="0CA4390F" w14:textId="77777777" w:rsidR="00B54EE0" w:rsidRPr="00492095" w:rsidRDefault="00B54EE0" w:rsidP="00DA5AE3">
      <w:pPr>
        <w:pStyle w:val="Heading1"/>
        <w:spacing w:before="0" w:after="120" w:line="276" w:lineRule="auto"/>
        <w:rPr>
          <w:rFonts w:ascii="Trebuchet MS" w:hAnsi="Trebuchet MS" w:cs="Arial"/>
        </w:rPr>
      </w:pPr>
      <w:bookmarkStart w:id="6" w:name="_Toc266201041"/>
      <w:r w:rsidRPr="00492095">
        <w:rPr>
          <w:rFonts w:ascii="Trebuchet MS" w:hAnsi="Trebuchet MS" w:cs="Arial"/>
          <w:highlight w:val="white"/>
        </w:rPr>
        <w:t>Location analyzed</w:t>
      </w:r>
      <w:bookmarkEnd w:id="6"/>
    </w:p>
    <w:p w14:paraId="1CC5970B" w14:textId="49113B1E" w:rsidR="00A81A5A" w:rsidRDefault="008B2BB0" w:rsidP="00DA5AE3">
      <w:pPr>
        <w:pStyle w:val="Normal1"/>
        <w:spacing w:after="120"/>
        <w:rPr>
          <w:rFonts w:ascii="Trebuchet MS" w:eastAsia="Cambria" w:hAnsi="Trebuchet MS"/>
          <w:sz w:val="24"/>
        </w:rPr>
      </w:pPr>
      <w:r w:rsidRPr="00492095">
        <w:rPr>
          <w:rFonts w:ascii="Trebuchet MS" w:eastAsia="Cambria" w:hAnsi="Trebuchet MS"/>
          <w:sz w:val="24"/>
          <w:highlight w:val="white"/>
        </w:rPr>
        <w:t>The model is designed to accommodate any site</w:t>
      </w:r>
      <w:r w:rsidR="002A2170">
        <w:rPr>
          <w:rFonts w:ascii="Trebuchet MS" w:eastAsia="Cambria" w:hAnsi="Trebuchet MS"/>
          <w:sz w:val="24"/>
          <w:highlight w:val="white"/>
        </w:rPr>
        <w:t>, but the</w:t>
      </w:r>
      <w:r w:rsidR="00B54EE0" w:rsidRPr="00492095">
        <w:rPr>
          <w:rFonts w:ascii="Trebuchet MS" w:eastAsia="Cambria" w:hAnsi="Trebuchet MS"/>
          <w:sz w:val="24"/>
          <w:highlight w:val="white"/>
        </w:rPr>
        <w:t xml:space="preserve"> </w:t>
      </w:r>
      <w:r w:rsidR="002A2170">
        <w:rPr>
          <w:rFonts w:ascii="Trebuchet MS" w:eastAsia="Cambria" w:hAnsi="Trebuchet MS"/>
          <w:sz w:val="24"/>
          <w:highlight w:val="white"/>
        </w:rPr>
        <w:t xml:space="preserve">pilot </w:t>
      </w:r>
      <w:r w:rsidR="00B54EE0" w:rsidRPr="00492095">
        <w:rPr>
          <w:rFonts w:ascii="Trebuchet MS" w:eastAsia="Cambria" w:hAnsi="Trebuchet MS"/>
          <w:sz w:val="24"/>
          <w:highlight w:val="white"/>
        </w:rPr>
        <w:t>a</w:t>
      </w:r>
      <w:r w:rsidR="007C0BC0" w:rsidRPr="00492095">
        <w:rPr>
          <w:rFonts w:ascii="Trebuchet MS" w:eastAsia="Cambria" w:hAnsi="Trebuchet MS"/>
          <w:sz w:val="24"/>
          <w:highlight w:val="white"/>
        </w:rPr>
        <w:t xml:space="preserve">nalysis </w:t>
      </w:r>
      <w:r w:rsidR="002A2170">
        <w:rPr>
          <w:rFonts w:ascii="Trebuchet MS" w:eastAsia="Cambria" w:hAnsi="Trebuchet MS"/>
          <w:sz w:val="24"/>
          <w:highlight w:val="white"/>
        </w:rPr>
        <w:t>discussed</w:t>
      </w:r>
      <w:r w:rsidR="000B7233" w:rsidRPr="00492095">
        <w:rPr>
          <w:rFonts w:ascii="Trebuchet MS" w:eastAsia="Cambria" w:hAnsi="Trebuchet MS"/>
          <w:sz w:val="24"/>
          <w:highlight w:val="white"/>
        </w:rPr>
        <w:t xml:space="preserve"> here </w:t>
      </w:r>
      <w:r w:rsidR="007C0BC0" w:rsidRPr="00492095">
        <w:rPr>
          <w:rFonts w:ascii="Trebuchet MS" w:eastAsia="Cambria" w:hAnsi="Trebuchet MS"/>
          <w:sz w:val="24"/>
          <w:highlight w:val="white"/>
        </w:rPr>
        <w:t>focuses on a conceptual site</w:t>
      </w:r>
      <w:r w:rsidRPr="00492095">
        <w:rPr>
          <w:rFonts w:ascii="Trebuchet MS" w:eastAsia="Cambria" w:hAnsi="Trebuchet MS"/>
          <w:sz w:val="24"/>
          <w:highlight w:val="white"/>
        </w:rPr>
        <w:t>, not a specific installation,</w:t>
      </w:r>
      <w:r w:rsidR="00B54EE0" w:rsidRPr="00492095">
        <w:rPr>
          <w:rFonts w:ascii="Trebuchet MS" w:eastAsia="Cambria" w:hAnsi="Trebuchet MS"/>
          <w:sz w:val="24"/>
          <w:highlight w:val="white"/>
        </w:rPr>
        <w:t xml:space="preserve"> compiled using data published by the</w:t>
      </w:r>
      <w:r w:rsidR="000B7233" w:rsidRPr="00492095">
        <w:rPr>
          <w:rFonts w:ascii="Trebuchet MS" w:eastAsia="Cambria" w:hAnsi="Trebuchet MS"/>
          <w:sz w:val="24"/>
          <w:highlight w:val="white"/>
        </w:rPr>
        <w:t xml:space="preserve"> C</w:t>
      </w:r>
      <w:r w:rsidR="007C0BC0" w:rsidRPr="00492095">
        <w:rPr>
          <w:rFonts w:ascii="Trebuchet MS" w:eastAsia="Cambria" w:hAnsi="Trebuchet MS"/>
          <w:sz w:val="24"/>
          <w:highlight w:val="white"/>
        </w:rPr>
        <w:t>ity or otherwise available from existing projects. It envisions two alternatives</w:t>
      </w:r>
      <w:r w:rsidR="00B54EE0" w:rsidRPr="00492095">
        <w:rPr>
          <w:rFonts w:ascii="Trebuchet MS" w:eastAsia="Cambria" w:hAnsi="Trebuchet MS"/>
          <w:sz w:val="24"/>
          <w:highlight w:val="white"/>
        </w:rPr>
        <w:t xml:space="preserve"> </w:t>
      </w:r>
      <w:r w:rsidR="007C0BC0" w:rsidRPr="00492095">
        <w:rPr>
          <w:rFonts w:ascii="Trebuchet MS" w:eastAsia="Cambria" w:hAnsi="Trebuchet MS"/>
          <w:sz w:val="24"/>
          <w:highlight w:val="white"/>
        </w:rPr>
        <w:t xml:space="preserve">— </w:t>
      </w:r>
      <w:r w:rsidR="00B54EE0" w:rsidRPr="00492095">
        <w:rPr>
          <w:rFonts w:ascii="Trebuchet MS" w:eastAsia="Cambria" w:hAnsi="Trebuchet MS"/>
          <w:sz w:val="24"/>
          <w:highlight w:val="white"/>
        </w:rPr>
        <w:t xml:space="preserve">a </w:t>
      </w:r>
      <w:proofErr w:type="spellStart"/>
      <w:r w:rsidR="007C0BC0" w:rsidRPr="00492095">
        <w:rPr>
          <w:rFonts w:ascii="Trebuchet MS" w:eastAsia="Cambria" w:hAnsi="Trebuchet MS"/>
          <w:sz w:val="24"/>
          <w:highlight w:val="white"/>
        </w:rPr>
        <w:t>bioswale</w:t>
      </w:r>
      <w:proofErr w:type="spellEnd"/>
      <w:r w:rsidR="007C0BC0" w:rsidRPr="00492095">
        <w:rPr>
          <w:rFonts w:ascii="Trebuchet MS" w:eastAsia="Cambria" w:hAnsi="Trebuchet MS"/>
          <w:sz w:val="24"/>
          <w:highlight w:val="white"/>
        </w:rPr>
        <w:t xml:space="preserve"> wi</w:t>
      </w:r>
      <w:r w:rsidR="00E4664D" w:rsidRPr="00492095">
        <w:rPr>
          <w:rFonts w:ascii="Trebuchet MS" w:eastAsia="Cambria" w:hAnsi="Trebuchet MS"/>
          <w:sz w:val="24"/>
          <w:highlight w:val="white"/>
        </w:rPr>
        <w:t>th characteristics mimicking those built in 2011</w:t>
      </w:r>
      <w:r w:rsidR="00B54EE0" w:rsidRPr="00492095">
        <w:rPr>
          <w:rFonts w:ascii="Trebuchet MS" w:eastAsia="Cambria" w:hAnsi="Trebuchet MS"/>
          <w:sz w:val="24"/>
          <w:highlight w:val="white"/>
        </w:rPr>
        <w:t xml:space="preserve"> in Brooklyn near the corner of Dean Stree</w:t>
      </w:r>
      <w:r w:rsidR="007C0BC0" w:rsidRPr="00492095">
        <w:rPr>
          <w:rFonts w:ascii="Trebuchet MS" w:eastAsia="Cambria" w:hAnsi="Trebuchet MS"/>
          <w:sz w:val="24"/>
          <w:highlight w:val="white"/>
        </w:rPr>
        <w:t>t and Fourth Avenue</w:t>
      </w:r>
      <w:r w:rsidR="00A81A5A">
        <w:rPr>
          <w:rFonts w:ascii="Trebuchet MS" w:eastAsia="Cambria" w:hAnsi="Trebuchet MS"/>
          <w:sz w:val="24"/>
          <w:highlight w:val="white"/>
        </w:rPr>
        <w:t>,</w:t>
      </w:r>
      <w:r w:rsidR="007C0BC0" w:rsidRPr="00492095">
        <w:rPr>
          <w:rFonts w:ascii="Trebuchet MS" w:eastAsia="Cambria" w:hAnsi="Trebuchet MS"/>
          <w:sz w:val="24"/>
          <w:highlight w:val="white"/>
        </w:rPr>
        <w:t xml:space="preserve"> and</w:t>
      </w:r>
      <w:r w:rsidR="00B54EE0" w:rsidRPr="00492095">
        <w:rPr>
          <w:rFonts w:ascii="Trebuchet MS" w:eastAsia="Cambria" w:hAnsi="Trebuchet MS"/>
          <w:sz w:val="24"/>
          <w:highlight w:val="white"/>
        </w:rPr>
        <w:t xml:space="preserve"> a permeable pavement project</w:t>
      </w:r>
      <w:r w:rsidR="007C0BC0" w:rsidRPr="00492095">
        <w:rPr>
          <w:rFonts w:ascii="Trebuchet MS" w:eastAsia="Cambria" w:hAnsi="Trebuchet MS"/>
          <w:sz w:val="24"/>
          <w:highlight w:val="white"/>
        </w:rPr>
        <w:t xml:space="preserve"> similar to one designed</w:t>
      </w:r>
      <w:r w:rsidR="00B54EE0" w:rsidRPr="00492095">
        <w:rPr>
          <w:rFonts w:ascii="Trebuchet MS" w:eastAsia="Cambria" w:hAnsi="Trebuchet MS"/>
          <w:sz w:val="24"/>
          <w:highlight w:val="white"/>
        </w:rPr>
        <w:t xml:space="preserve"> the Queens corner of Lin</w:t>
      </w:r>
      <w:r w:rsidR="000B7233" w:rsidRPr="00492095">
        <w:rPr>
          <w:rFonts w:ascii="Trebuchet MS" w:eastAsia="Cambria" w:hAnsi="Trebuchet MS"/>
          <w:sz w:val="24"/>
          <w:highlight w:val="white"/>
        </w:rPr>
        <w:t>den Boulevard and 204th Street.</w:t>
      </w:r>
      <w:r w:rsidR="000B7233" w:rsidRPr="00492095">
        <w:rPr>
          <w:rFonts w:ascii="Trebuchet MS" w:eastAsia="Cambria" w:hAnsi="Trebuchet MS"/>
          <w:sz w:val="24"/>
        </w:rPr>
        <w:t xml:space="preserve"> </w:t>
      </w:r>
    </w:p>
    <w:p w14:paraId="4857D514" w14:textId="12D50E44" w:rsidR="00E4664D" w:rsidRPr="00492095" w:rsidRDefault="008B0C4E" w:rsidP="00DA5AE3">
      <w:pPr>
        <w:pStyle w:val="Normal1"/>
        <w:spacing w:after="120"/>
        <w:rPr>
          <w:rFonts w:ascii="Trebuchet MS" w:eastAsia="Cambria" w:hAnsi="Trebuchet MS"/>
          <w:sz w:val="24"/>
        </w:rPr>
      </w:pPr>
      <w:r w:rsidRPr="00492095">
        <w:rPr>
          <w:rFonts w:ascii="Trebuchet MS" w:eastAsia="Cambria" w:hAnsi="Trebuchet MS"/>
          <w:noProof/>
          <w:sz w:val="24"/>
          <w:lang w:eastAsia="en-US"/>
        </w:rPr>
        <w:lastRenderedPageBreak/>
        <mc:AlternateContent>
          <mc:Choice Requires="wps">
            <w:drawing>
              <wp:anchor distT="0" distB="0" distL="114300" distR="114300" simplePos="0" relativeHeight="251677696" behindDoc="0" locked="0" layoutInCell="1" allowOverlap="1" wp14:anchorId="540BBA3D" wp14:editId="2ABB2E89">
                <wp:simplePos x="0" y="0"/>
                <wp:positionH relativeFrom="column">
                  <wp:posOffset>2057400</wp:posOffset>
                </wp:positionH>
                <wp:positionV relativeFrom="paragraph">
                  <wp:posOffset>92710</wp:posOffset>
                </wp:positionV>
                <wp:extent cx="3771900" cy="24003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3771900" cy="2400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20420" w:type="dxa"/>
                              <w:tblInd w:w="108" w:type="dxa"/>
                              <w:tblLook w:val="04A0" w:firstRow="1" w:lastRow="0" w:firstColumn="1" w:lastColumn="0" w:noHBand="0" w:noVBand="1"/>
                            </w:tblPr>
                            <w:tblGrid>
                              <w:gridCol w:w="6056"/>
                              <w:gridCol w:w="262"/>
                              <w:gridCol w:w="376"/>
                              <w:gridCol w:w="546"/>
                              <w:gridCol w:w="1257"/>
                              <w:gridCol w:w="1244"/>
                              <w:gridCol w:w="1301"/>
                              <w:gridCol w:w="1102"/>
                              <w:gridCol w:w="1031"/>
                              <w:gridCol w:w="1031"/>
                              <w:gridCol w:w="1031"/>
                              <w:gridCol w:w="1031"/>
                              <w:gridCol w:w="1031"/>
                              <w:gridCol w:w="988"/>
                              <w:gridCol w:w="1102"/>
                              <w:gridCol w:w="1031"/>
                            </w:tblGrid>
                            <w:tr w:rsidR="00190FCA" w:rsidRPr="00226F21" w14:paraId="02556255" w14:textId="77777777" w:rsidTr="00226F21">
                              <w:trPr>
                                <w:trHeight w:val="680"/>
                              </w:trPr>
                              <w:tc>
                                <w:tcPr>
                                  <w:tcW w:w="1560" w:type="dxa"/>
                                  <w:tcBorders>
                                    <w:top w:val="nil"/>
                                    <w:left w:val="nil"/>
                                    <w:bottom w:val="nil"/>
                                    <w:right w:val="nil"/>
                                  </w:tcBorders>
                                  <w:shd w:val="clear" w:color="auto" w:fill="auto"/>
                                  <w:vAlign w:val="center"/>
                                  <w:hideMark/>
                                </w:tcPr>
                                <w:p w14:paraId="55CC9C01" w14:textId="77777777" w:rsidR="00190FCA" w:rsidRPr="00226F21" w:rsidRDefault="00190FCA" w:rsidP="00226F21">
                                  <w:pPr>
                                    <w:jc w:val="center"/>
                                    <w:rPr>
                                      <w:rFonts w:ascii="Century Gothic" w:eastAsia="Times New Roman" w:hAnsi="Century Gothic" w:cs="Arial"/>
                                      <w:color w:val="000000"/>
                                      <w:sz w:val="22"/>
                                      <w:szCs w:val="22"/>
                                    </w:rPr>
                                  </w:pPr>
                                  <w:r>
                                    <w:rPr>
                                      <w:noProof/>
                                    </w:rPr>
                                    <w:drawing>
                                      <wp:inline distT="0" distB="0" distL="0" distR="0" wp14:anchorId="57FD7281" wp14:editId="311EA3A5">
                                        <wp:extent cx="3667384" cy="2257676"/>
                                        <wp:effectExtent l="25400" t="25400" r="15875"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9169" cy="2258775"/>
                                                </a:xfrm>
                                                <a:prstGeom prst="rect">
                                                  <a:avLst/>
                                                </a:prstGeom>
                                                <a:noFill/>
                                                <a:ln>
                                                  <a:solidFill>
                                                    <a:srgbClr val="000000"/>
                                                  </a:solidFill>
                                                </a:ln>
                                              </pic:spPr>
                                            </pic:pic>
                                          </a:graphicData>
                                        </a:graphic>
                                      </wp:inline>
                                    </w:drawing>
                                  </w:r>
                                </w:p>
                              </w:tc>
                              <w:tc>
                                <w:tcPr>
                                  <w:tcW w:w="280" w:type="dxa"/>
                                  <w:tcBorders>
                                    <w:top w:val="nil"/>
                                    <w:left w:val="nil"/>
                                    <w:bottom w:val="nil"/>
                                    <w:right w:val="nil"/>
                                  </w:tcBorders>
                                  <w:shd w:val="clear" w:color="auto" w:fill="auto"/>
                                  <w:vAlign w:val="center"/>
                                  <w:hideMark/>
                                </w:tcPr>
                                <w:p w14:paraId="2589AB88"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D8639BA"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11616CB0"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619366CA"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EDB3ED4"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6C0636FC"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4578580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4D5254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00526B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0AAD3E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48F4EC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8CD3129"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42E3ACB7"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365B28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F7E10BF"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338EFD37" w14:textId="77777777" w:rsidTr="00226F21">
                              <w:trPr>
                                <w:trHeight w:val="680"/>
                              </w:trPr>
                              <w:tc>
                                <w:tcPr>
                                  <w:tcW w:w="1560" w:type="dxa"/>
                                  <w:tcBorders>
                                    <w:top w:val="nil"/>
                                    <w:left w:val="nil"/>
                                    <w:bottom w:val="nil"/>
                                    <w:right w:val="nil"/>
                                  </w:tcBorders>
                                  <w:shd w:val="clear" w:color="auto" w:fill="auto"/>
                                  <w:vAlign w:val="center"/>
                                  <w:hideMark/>
                                </w:tcPr>
                                <w:p w14:paraId="20A9FC6C"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34456EC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66B804A9"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3C97B9F6"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3C5E1CB"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973F0E6"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6FEDA4A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0AD3B49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6C4487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31DEDBA"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E35DE6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3A1C32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FC774D3"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11D98019"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6013F07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7FCAD3D"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4E2967CC" w14:textId="77777777" w:rsidTr="00226F21">
                              <w:trPr>
                                <w:trHeight w:val="600"/>
                              </w:trPr>
                              <w:tc>
                                <w:tcPr>
                                  <w:tcW w:w="1560" w:type="dxa"/>
                                  <w:tcBorders>
                                    <w:top w:val="nil"/>
                                    <w:left w:val="nil"/>
                                    <w:bottom w:val="nil"/>
                                    <w:right w:val="nil"/>
                                  </w:tcBorders>
                                  <w:shd w:val="clear" w:color="auto" w:fill="auto"/>
                                  <w:vAlign w:val="center"/>
                                  <w:hideMark/>
                                </w:tcPr>
                                <w:p w14:paraId="0F94EACB"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5F002FFB"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53D9FE7"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82C3417"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62D721A8"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23318EC"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2D500F58"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369755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FC66FC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ABC017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991CF1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9C32F9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0050267"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6B3A07C0"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C4844E4"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B87A748"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281910F2" w14:textId="77777777" w:rsidTr="00226F21">
                              <w:trPr>
                                <w:trHeight w:val="640"/>
                              </w:trPr>
                              <w:tc>
                                <w:tcPr>
                                  <w:tcW w:w="1560" w:type="dxa"/>
                                  <w:tcBorders>
                                    <w:top w:val="nil"/>
                                    <w:left w:val="nil"/>
                                    <w:bottom w:val="nil"/>
                                    <w:right w:val="nil"/>
                                  </w:tcBorders>
                                  <w:shd w:val="clear" w:color="auto" w:fill="auto"/>
                                  <w:vAlign w:val="center"/>
                                  <w:hideMark/>
                                </w:tcPr>
                                <w:p w14:paraId="257FD3A7"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33E77FA4"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5318857A"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EC57D6C"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9698BDA"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5126E829"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5CA54F0D"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4CD67D9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B9DCC58"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FB543C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7F6142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66F83A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F1B01D2"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A21D929"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F94EE1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F7F7786"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58E83EBB" w14:textId="77777777" w:rsidTr="00226F21">
                              <w:trPr>
                                <w:trHeight w:val="640"/>
                              </w:trPr>
                              <w:tc>
                                <w:tcPr>
                                  <w:tcW w:w="1560" w:type="dxa"/>
                                  <w:tcBorders>
                                    <w:top w:val="nil"/>
                                    <w:left w:val="nil"/>
                                    <w:bottom w:val="nil"/>
                                    <w:right w:val="nil"/>
                                  </w:tcBorders>
                                  <w:shd w:val="clear" w:color="auto" w:fill="auto"/>
                                  <w:vAlign w:val="center"/>
                                  <w:hideMark/>
                                </w:tcPr>
                                <w:p w14:paraId="64ABCF68"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2E40AB2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01F330B2"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99FC63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318557D3"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3870A93"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EAD89D6"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28DA7D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F6BC4E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46ECDB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9D74EA8"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3F1670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F0B9718"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3AB05C18"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AC9DF8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D9143F0"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6DDB8341" w14:textId="77777777" w:rsidTr="00226F21">
                              <w:trPr>
                                <w:trHeight w:val="640"/>
                              </w:trPr>
                              <w:tc>
                                <w:tcPr>
                                  <w:tcW w:w="1560" w:type="dxa"/>
                                  <w:tcBorders>
                                    <w:top w:val="nil"/>
                                    <w:left w:val="nil"/>
                                    <w:bottom w:val="nil"/>
                                    <w:right w:val="nil"/>
                                  </w:tcBorders>
                                  <w:shd w:val="clear" w:color="auto" w:fill="auto"/>
                                  <w:vAlign w:val="center"/>
                                  <w:hideMark/>
                                </w:tcPr>
                                <w:p w14:paraId="60BB5F07"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F397A3F"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B13692D"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22B6B638"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6795823"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08370FBC"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3634AAE"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334D59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CF20C2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CC8B39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A9DB07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E88C46A"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FE3ECE6"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6041DF3"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6FDF0C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70B0C17"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2B8C65DE" w14:textId="77777777" w:rsidTr="00226F21">
                              <w:trPr>
                                <w:trHeight w:val="640"/>
                              </w:trPr>
                              <w:tc>
                                <w:tcPr>
                                  <w:tcW w:w="1560" w:type="dxa"/>
                                  <w:tcBorders>
                                    <w:top w:val="nil"/>
                                    <w:left w:val="nil"/>
                                    <w:bottom w:val="nil"/>
                                    <w:right w:val="nil"/>
                                  </w:tcBorders>
                                  <w:shd w:val="clear" w:color="auto" w:fill="auto"/>
                                  <w:vAlign w:val="center"/>
                                  <w:hideMark/>
                                </w:tcPr>
                                <w:p w14:paraId="19473799"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5C2C9A1C"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3621007C"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2B1C667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7B94DA9E"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1893E05A"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7C12A765"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2ACD19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AF07586"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5D98B6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5C562F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0720C8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2564684"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2DC22C0"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622DEFB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751789A"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9AAEED1" w14:textId="77777777" w:rsidTr="00226F21">
                              <w:trPr>
                                <w:trHeight w:val="640"/>
                              </w:trPr>
                              <w:tc>
                                <w:tcPr>
                                  <w:tcW w:w="1560" w:type="dxa"/>
                                  <w:tcBorders>
                                    <w:top w:val="nil"/>
                                    <w:left w:val="nil"/>
                                    <w:bottom w:val="nil"/>
                                    <w:right w:val="nil"/>
                                  </w:tcBorders>
                                  <w:shd w:val="clear" w:color="auto" w:fill="auto"/>
                                  <w:vAlign w:val="center"/>
                                  <w:hideMark/>
                                </w:tcPr>
                                <w:p w14:paraId="442CB8C9"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2B9C746"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C1E6A26"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25DB039C"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E262CF2"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9971F5F"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359B6916"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61B484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FB0E37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0127ED4"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09872F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37E5EE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20C2F44"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87E31F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C50EBD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7754A29"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6DB9B058" w14:textId="77777777" w:rsidTr="00226F21">
                              <w:trPr>
                                <w:trHeight w:val="640"/>
                              </w:trPr>
                              <w:tc>
                                <w:tcPr>
                                  <w:tcW w:w="1560" w:type="dxa"/>
                                  <w:tcBorders>
                                    <w:top w:val="nil"/>
                                    <w:left w:val="nil"/>
                                    <w:bottom w:val="nil"/>
                                    <w:right w:val="nil"/>
                                  </w:tcBorders>
                                  <w:shd w:val="clear" w:color="auto" w:fill="auto"/>
                                  <w:vAlign w:val="center"/>
                                  <w:hideMark/>
                                </w:tcPr>
                                <w:p w14:paraId="2D98C5A8"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58E39014"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D1B2523"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056C6957"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B11D5DF"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6468661"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3A9E242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FDEFCF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89B33B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51B14B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AF5D31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3B119A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C325A96"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2C9FF6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4A59487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E3D38D2"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EAFDA4C" w14:textId="77777777" w:rsidTr="00226F21">
                              <w:trPr>
                                <w:trHeight w:val="640"/>
                              </w:trPr>
                              <w:tc>
                                <w:tcPr>
                                  <w:tcW w:w="1560" w:type="dxa"/>
                                  <w:tcBorders>
                                    <w:top w:val="nil"/>
                                    <w:left w:val="nil"/>
                                    <w:bottom w:val="nil"/>
                                    <w:right w:val="nil"/>
                                  </w:tcBorders>
                                  <w:shd w:val="clear" w:color="auto" w:fill="auto"/>
                                  <w:vAlign w:val="center"/>
                                  <w:hideMark/>
                                </w:tcPr>
                                <w:p w14:paraId="07AF1AE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63A8D2C8"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5EAB36F2"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967B828"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4B10B2FE"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5AAF99A8"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1DA6A4A4"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D06DC8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B47F72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2E226A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8F2B6E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2609A8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F145A19"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2AD14800"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9C3F67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DD27A70"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18BBF54" w14:textId="77777777" w:rsidTr="00226F21">
                              <w:trPr>
                                <w:trHeight w:val="640"/>
                              </w:trPr>
                              <w:tc>
                                <w:tcPr>
                                  <w:tcW w:w="1560" w:type="dxa"/>
                                  <w:tcBorders>
                                    <w:top w:val="nil"/>
                                    <w:left w:val="nil"/>
                                    <w:bottom w:val="nil"/>
                                    <w:right w:val="nil"/>
                                  </w:tcBorders>
                                  <w:shd w:val="clear" w:color="auto" w:fill="auto"/>
                                  <w:vAlign w:val="center"/>
                                  <w:hideMark/>
                                </w:tcPr>
                                <w:p w14:paraId="3B569DFB"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4F77024"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395D345"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5D6CEC4"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CC700BB"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5973E35E"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DE67A65"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DF2481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2C4543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0DF0B0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7B812E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BB9A9F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CB958B9"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3D8D6056"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3B5A6B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ACACF9F"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08D72B0F" w14:textId="77777777" w:rsidTr="00226F21">
                              <w:trPr>
                                <w:trHeight w:val="640"/>
                              </w:trPr>
                              <w:tc>
                                <w:tcPr>
                                  <w:tcW w:w="1560" w:type="dxa"/>
                                  <w:tcBorders>
                                    <w:top w:val="nil"/>
                                    <w:left w:val="nil"/>
                                    <w:bottom w:val="nil"/>
                                    <w:right w:val="nil"/>
                                  </w:tcBorders>
                                  <w:shd w:val="clear" w:color="auto" w:fill="auto"/>
                                  <w:vAlign w:val="center"/>
                                  <w:hideMark/>
                                </w:tcPr>
                                <w:p w14:paraId="1937FF0A"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143FF07C"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73F99451"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8BBEE5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6CB49198"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6426150"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1B9C25E3"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066378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C6DFE0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2B647C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5EC67D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958BF6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CB3CEDF"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191435E7"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764A02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A61E692"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1CFFC99C" w14:textId="77777777" w:rsidTr="00226F21">
                              <w:trPr>
                                <w:trHeight w:val="640"/>
                              </w:trPr>
                              <w:tc>
                                <w:tcPr>
                                  <w:tcW w:w="1560" w:type="dxa"/>
                                  <w:tcBorders>
                                    <w:top w:val="nil"/>
                                    <w:left w:val="nil"/>
                                    <w:bottom w:val="nil"/>
                                    <w:right w:val="nil"/>
                                  </w:tcBorders>
                                  <w:shd w:val="clear" w:color="auto" w:fill="auto"/>
                                  <w:vAlign w:val="center"/>
                                  <w:hideMark/>
                                </w:tcPr>
                                <w:p w14:paraId="419BA4E2"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B11420E"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301FBF4C"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CFA8087"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4121A48B"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42B238BF"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A37BF78"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7B92E64"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6359D5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1E161A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E6D12A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9722EB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C783333"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1A50EEE4"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DE95F9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D06127A"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A194045" w14:textId="77777777" w:rsidTr="00226F21">
                              <w:trPr>
                                <w:trHeight w:val="640"/>
                              </w:trPr>
                              <w:tc>
                                <w:tcPr>
                                  <w:tcW w:w="1560" w:type="dxa"/>
                                  <w:tcBorders>
                                    <w:top w:val="nil"/>
                                    <w:left w:val="nil"/>
                                    <w:bottom w:val="nil"/>
                                    <w:right w:val="nil"/>
                                  </w:tcBorders>
                                  <w:shd w:val="clear" w:color="auto" w:fill="auto"/>
                                  <w:vAlign w:val="center"/>
                                  <w:hideMark/>
                                </w:tcPr>
                                <w:p w14:paraId="1BE61FB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665C8D18"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079DC018"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9DEFB2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0A572932"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4CD424F3"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019A6A8E"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BF668C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71DA388"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717819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BD2821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5D4EA0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4238B5A"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2A5CFFD"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E29040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68BBE88"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66A4C4F9" w14:textId="77777777" w:rsidTr="00226F21">
                              <w:trPr>
                                <w:trHeight w:val="660"/>
                              </w:trPr>
                              <w:tc>
                                <w:tcPr>
                                  <w:tcW w:w="1560" w:type="dxa"/>
                                  <w:tcBorders>
                                    <w:top w:val="nil"/>
                                    <w:left w:val="nil"/>
                                    <w:bottom w:val="nil"/>
                                    <w:right w:val="nil"/>
                                  </w:tcBorders>
                                  <w:shd w:val="clear" w:color="auto" w:fill="auto"/>
                                  <w:vAlign w:val="center"/>
                                  <w:hideMark/>
                                </w:tcPr>
                                <w:p w14:paraId="35C3813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2841E9D6"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03B48712"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3FAE663A"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0948AC0"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D9BACC1"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583F737B"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53E09D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80BE32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B173B6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54E69C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C3DF50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FEEDF2C"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9F46097"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F2A773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B2D5F11"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46D247CD" w14:textId="77777777" w:rsidTr="00226F21">
                              <w:trPr>
                                <w:trHeight w:val="560"/>
                              </w:trPr>
                              <w:tc>
                                <w:tcPr>
                                  <w:tcW w:w="1560" w:type="dxa"/>
                                  <w:tcBorders>
                                    <w:top w:val="nil"/>
                                    <w:left w:val="nil"/>
                                    <w:bottom w:val="nil"/>
                                    <w:right w:val="nil"/>
                                  </w:tcBorders>
                                  <w:shd w:val="clear" w:color="auto" w:fill="auto"/>
                                  <w:vAlign w:val="center"/>
                                  <w:hideMark/>
                                </w:tcPr>
                                <w:p w14:paraId="5A256E54"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69067F9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395A3726"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55027E7A"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BBAE7B5"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2C57FF58"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6EB9EB9"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834EB2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12F4AF6"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E5B6D8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485835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10BDDB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F463788"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3CD4C1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5EE3AD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F554F5C"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3ED2EE8E" w14:textId="77777777" w:rsidTr="00226F21">
                              <w:trPr>
                                <w:trHeight w:val="560"/>
                              </w:trPr>
                              <w:tc>
                                <w:tcPr>
                                  <w:tcW w:w="1560" w:type="dxa"/>
                                  <w:tcBorders>
                                    <w:top w:val="nil"/>
                                    <w:left w:val="nil"/>
                                    <w:bottom w:val="nil"/>
                                    <w:right w:val="nil"/>
                                  </w:tcBorders>
                                  <w:shd w:val="clear" w:color="auto" w:fill="auto"/>
                                  <w:vAlign w:val="center"/>
                                  <w:hideMark/>
                                </w:tcPr>
                                <w:p w14:paraId="0C1952FA"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4290E995"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4C5DCBC6"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55F522E"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74E09416"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69E06FA"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577E8FBE"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D5D4D9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F7613A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FDC2B2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C6F85C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D6CEA2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65ED9F8"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4FDCBABC"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61F4AE9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2DBA198"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5F6C491E" w14:textId="77777777" w:rsidTr="00226F21">
                              <w:trPr>
                                <w:trHeight w:val="560"/>
                              </w:trPr>
                              <w:tc>
                                <w:tcPr>
                                  <w:tcW w:w="1560" w:type="dxa"/>
                                  <w:tcBorders>
                                    <w:top w:val="nil"/>
                                    <w:left w:val="nil"/>
                                    <w:bottom w:val="nil"/>
                                    <w:right w:val="nil"/>
                                  </w:tcBorders>
                                  <w:shd w:val="clear" w:color="auto" w:fill="auto"/>
                                  <w:vAlign w:val="center"/>
                                  <w:hideMark/>
                                </w:tcPr>
                                <w:p w14:paraId="3D16891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249711F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529961A3"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1437E6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75564874"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0A268C12"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03D840D2"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A3B673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3F2B7C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180A26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EE45A0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95FD43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C5CB851"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C17C4B4"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6E21FF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BF0C96D" w14:textId="77777777" w:rsidR="00190FCA" w:rsidRPr="00226F21" w:rsidRDefault="00190FCA" w:rsidP="00226F21">
                                  <w:pPr>
                                    <w:jc w:val="center"/>
                                    <w:rPr>
                                      <w:rFonts w:ascii="Century Gothic" w:eastAsia="Times New Roman" w:hAnsi="Century Gothic" w:cs="Arial"/>
                                      <w:color w:val="000000"/>
                                      <w:sz w:val="22"/>
                                      <w:szCs w:val="22"/>
                                    </w:rPr>
                                  </w:pPr>
                                </w:p>
                              </w:tc>
                            </w:tr>
                          </w:tbl>
                          <w:p w14:paraId="583DDABD" w14:textId="77777777" w:rsidR="00190FCA" w:rsidRDefault="00190FCA" w:rsidP="008B0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2" type="#_x0000_t202" style="position:absolute;margin-left:162pt;margin-top:7.3pt;width:297pt;height:18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" filled="f" stroked="f">
                <v:textbox>
                  <w:txbxContent>
                    <w:tbl>
                      <w:tblPr>
                        <w:tblW w:w="20420" w:type="dxa"/>
                        <w:tblInd w:w="108" w:type="dxa"/>
                        <w:tblLook w:val="04A0" w:firstRow="1" w:lastRow="0" w:firstColumn="1" w:lastColumn="0" w:noHBand="0" w:noVBand="1"/>
                      </w:tblPr>
                      <w:tblGrid>
                        <w:gridCol w:w="6056"/>
                        <w:gridCol w:w="262"/>
                        <w:gridCol w:w="376"/>
                        <w:gridCol w:w="546"/>
                        <w:gridCol w:w="1257"/>
                        <w:gridCol w:w="1244"/>
                        <w:gridCol w:w="1301"/>
                        <w:gridCol w:w="1102"/>
                        <w:gridCol w:w="1031"/>
                        <w:gridCol w:w="1031"/>
                        <w:gridCol w:w="1031"/>
                        <w:gridCol w:w="1031"/>
                        <w:gridCol w:w="1031"/>
                        <w:gridCol w:w="988"/>
                        <w:gridCol w:w="1102"/>
                        <w:gridCol w:w="1031"/>
                      </w:tblGrid>
                      <w:tr w:rsidR="00190FCA" w:rsidRPr="00226F21" w14:paraId="02556255" w14:textId="77777777" w:rsidTr="00226F21">
                        <w:trPr>
                          <w:trHeight w:val="680"/>
                        </w:trPr>
                        <w:tc>
                          <w:tcPr>
                            <w:tcW w:w="1560" w:type="dxa"/>
                            <w:tcBorders>
                              <w:top w:val="nil"/>
                              <w:left w:val="nil"/>
                              <w:bottom w:val="nil"/>
                              <w:right w:val="nil"/>
                            </w:tcBorders>
                            <w:shd w:val="clear" w:color="auto" w:fill="auto"/>
                            <w:vAlign w:val="center"/>
                            <w:hideMark/>
                          </w:tcPr>
                          <w:p w14:paraId="55CC9C01" w14:textId="77777777" w:rsidR="00190FCA" w:rsidRPr="00226F21" w:rsidRDefault="00190FCA" w:rsidP="00226F21">
                            <w:pPr>
                              <w:jc w:val="center"/>
                              <w:rPr>
                                <w:rFonts w:ascii="Century Gothic" w:eastAsia="Times New Roman" w:hAnsi="Century Gothic" w:cs="Arial"/>
                                <w:color w:val="000000"/>
                                <w:sz w:val="22"/>
                                <w:szCs w:val="22"/>
                              </w:rPr>
                            </w:pPr>
                            <w:r>
                              <w:rPr>
                                <w:noProof/>
                              </w:rPr>
                              <w:drawing>
                                <wp:inline distT="0" distB="0" distL="0" distR="0" wp14:anchorId="57FD7281" wp14:editId="311EA3A5">
                                  <wp:extent cx="3667384" cy="2257676"/>
                                  <wp:effectExtent l="25400" t="25400" r="15875"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9169" cy="2258775"/>
                                          </a:xfrm>
                                          <a:prstGeom prst="rect">
                                            <a:avLst/>
                                          </a:prstGeom>
                                          <a:noFill/>
                                          <a:ln>
                                            <a:solidFill>
                                              <a:srgbClr val="000000"/>
                                            </a:solidFill>
                                          </a:ln>
                                        </pic:spPr>
                                      </pic:pic>
                                    </a:graphicData>
                                  </a:graphic>
                                </wp:inline>
                              </w:drawing>
                            </w:r>
                          </w:p>
                        </w:tc>
                        <w:tc>
                          <w:tcPr>
                            <w:tcW w:w="280" w:type="dxa"/>
                            <w:tcBorders>
                              <w:top w:val="nil"/>
                              <w:left w:val="nil"/>
                              <w:bottom w:val="nil"/>
                              <w:right w:val="nil"/>
                            </w:tcBorders>
                            <w:shd w:val="clear" w:color="auto" w:fill="auto"/>
                            <w:vAlign w:val="center"/>
                            <w:hideMark/>
                          </w:tcPr>
                          <w:p w14:paraId="2589AB88"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D8639BA"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11616CB0"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619366CA"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EDB3ED4"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6C0636FC"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4578580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4D5254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00526B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0AAD3E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48F4EC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8CD3129"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42E3ACB7"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365B28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F7E10BF"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338EFD37" w14:textId="77777777" w:rsidTr="00226F21">
                        <w:trPr>
                          <w:trHeight w:val="680"/>
                        </w:trPr>
                        <w:tc>
                          <w:tcPr>
                            <w:tcW w:w="1560" w:type="dxa"/>
                            <w:tcBorders>
                              <w:top w:val="nil"/>
                              <w:left w:val="nil"/>
                              <w:bottom w:val="nil"/>
                              <w:right w:val="nil"/>
                            </w:tcBorders>
                            <w:shd w:val="clear" w:color="auto" w:fill="auto"/>
                            <w:vAlign w:val="center"/>
                            <w:hideMark/>
                          </w:tcPr>
                          <w:p w14:paraId="20A9FC6C"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34456EC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66B804A9"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3C97B9F6"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3C5E1CB"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973F0E6"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6FEDA4A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0AD3B49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6C4487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31DEDBA"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E35DE6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3A1C32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FC774D3"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11D98019"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6013F07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7FCAD3D"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4E2967CC" w14:textId="77777777" w:rsidTr="00226F21">
                        <w:trPr>
                          <w:trHeight w:val="600"/>
                        </w:trPr>
                        <w:tc>
                          <w:tcPr>
                            <w:tcW w:w="1560" w:type="dxa"/>
                            <w:tcBorders>
                              <w:top w:val="nil"/>
                              <w:left w:val="nil"/>
                              <w:bottom w:val="nil"/>
                              <w:right w:val="nil"/>
                            </w:tcBorders>
                            <w:shd w:val="clear" w:color="auto" w:fill="auto"/>
                            <w:vAlign w:val="center"/>
                            <w:hideMark/>
                          </w:tcPr>
                          <w:p w14:paraId="0F94EACB"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5F002FFB"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53D9FE7"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82C3417"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62D721A8"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23318EC"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2D500F58"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369755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FC66FC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ABC017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991CF1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9C32F9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0050267"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6B3A07C0"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C4844E4"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B87A748"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281910F2" w14:textId="77777777" w:rsidTr="00226F21">
                        <w:trPr>
                          <w:trHeight w:val="640"/>
                        </w:trPr>
                        <w:tc>
                          <w:tcPr>
                            <w:tcW w:w="1560" w:type="dxa"/>
                            <w:tcBorders>
                              <w:top w:val="nil"/>
                              <w:left w:val="nil"/>
                              <w:bottom w:val="nil"/>
                              <w:right w:val="nil"/>
                            </w:tcBorders>
                            <w:shd w:val="clear" w:color="auto" w:fill="auto"/>
                            <w:vAlign w:val="center"/>
                            <w:hideMark/>
                          </w:tcPr>
                          <w:p w14:paraId="257FD3A7"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33E77FA4"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5318857A"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EC57D6C"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9698BDA"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5126E829"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5CA54F0D"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4CD67D9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B9DCC58"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FB543C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7F6142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66F83A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F1B01D2"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A21D929"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F94EE1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F7F7786"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58E83EBB" w14:textId="77777777" w:rsidTr="00226F21">
                        <w:trPr>
                          <w:trHeight w:val="640"/>
                        </w:trPr>
                        <w:tc>
                          <w:tcPr>
                            <w:tcW w:w="1560" w:type="dxa"/>
                            <w:tcBorders>
                              <w:top w:val="nil"/>
                              <w:left w:val="nil"/>
                              <w:bottom w:val="nil"/>
                              <w:right w:val="nil"/>
                            </w:tcBorders>
                            <w:shd w:val="clear" w:color="auto" w:fill="auto"/>
                            <w:vAlign w:val="center"/>
                            <w:hideMark/>
                          </w:tcPr>
                          <w:p w14:paraId="64ABCF68"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2E40AB2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01F330B2"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99FC63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318557D3"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3870A93"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EAD89D6"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28DA7D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F6BC4E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46ECDB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9D74EA8"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3F1670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F0B9718"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3AB05C18"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AC9DF8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D9143F0"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6DDB8341" w14:textId="77777777" w:rsidTr="00226F21">
                        <w:trPr>
                          <w:trHeight w:val="640"/>
                        </w:trPr>
                        <w:tc>
                          <w:tcPr>
                            <w:tcW w:w="1560" w:type="dxa"/>
                            <w:tcBorders>
                              <w:top w:val="nil"/>
                              <w:left w:val="nil"/>
                              <w:bottom w:val="nil"/>
                              <w:right w:val="nil"/>
                            </w:tcBorders>
                            <w:shd w:val="clear" w:color="auto" w:fill="auto"/>
                            <w:vAlign w:val="center"/>
                            <w:hideMark/>
                          </w:tcPr>
                          <w:p w14:paraId="60BB5F07"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F397A3F"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B13692D"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22B6B638"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6795823"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08370FBC"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3634AAE"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334D59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CF20C2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CC8B39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A9DB07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E88C46A"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FE3ECE6"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6041DF3"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6FDF0C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70B0C17"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2B8C65DE" w14:textId="77777777" w:rsidTr="00226F21">
                        <w:trPr>
                          <w:trHeight w:val="640"/>
                        </w:trPr>
                        <w:tc>
                          <w:tcPr>
                            <w:tcW w:w="1560" w:type="dxa"/>
                            <w:tcBorders>
                              <w:top w:val="nil"/>
                              <w:left w:val="nil"/>
                              <w:bottom w:val="nil"/>
                              <w:right w:val="nil"/>
                            </w:tcBorders>
                            <w:shd w:val="clear" w:color="auto" w:fill="auto"/>
                            <w:vAlign w:val="center"/>
                            <w:hideMark/>
                          </w:tcPr>
                          <w:p w14:paraId="19473799"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5C2C9A1C"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3621007C"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2B1C667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7B94DA9E"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1893E05A"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7C12A765"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2ACD19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AF07586"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5D98B6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5C562F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0720C8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2564684"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2DC22C0"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622DEFB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751789A"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9AAEED1" w14:textId="77777777" w:rsidTr="00226F21">
                        <w:trPr>
                          <w:trHeight w:val="640"/>
                        </w:trPr>
                        <w:tc>
                          <w:tcPr>
                            <w:tcW w:w="1560" w:type="dxa"/>
                            <w:tcBorders>
                              <w:top w:val="nil"/>
                              <w:left w:val="nil"/>
                              <w:bottom w:val="nil"/>
                              <w:right w:val="nil"/>
                            </w:tcBorders>
                            <w:shd w:val="clear" w:color="auto" w:fill="auto"/>
                            <w:vAlign w:val="center"/>
                            <w:hideMark/>
                          </w:tcPr>
                          <w:p w14:paraId="442CB8C9"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2B9C746"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C1E6A26"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25DB039C"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E262CF2"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9971F5F"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359B6916"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61B484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FB0E37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0127ED4"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09872F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37E5EE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20C2F44"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87E31F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C50EBD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7754A29"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6DB9B058" w14:textId="77777777" w:rsidTr="00226F21">
                        <w:trPr>
                          <w:trHeight w:val="640"/>
                        </w:trPr>
                        <w:tc>
                          <w:tcPr>
                            <w:tcW w:w="1560" w:type="dxa"/>
                            <w:tcBorders>
                              <w:top w:val="nil"/>
                              <w:left w:val="nil"/>
                              <w:bottom w:val="nil"/>
                              <w:right w:val="nil"/>
                            </w:tcBorders>
                            <w:shd w:val="clear" w:color="auto" w:fill="auto"/>
                            <w:vAlign w:val="center"/>
                            <w:hideMark/>
                          </w:tcPr>
                          <w:p w14:paraId="2D98C5A8"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58E39014"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D1B2523"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056C6957"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B11D5DF"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6468661"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3A9E242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FDEFCF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89B33B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51B14B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AF5D31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3B119A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C325A96"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2C9FF6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4A59487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E3D38D2"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EAFDA4C" w14:textId="77777777" w:rsidTr="00226F21">
                        <w:trPr>
                          <w:trHeight w:val="640"/>
                        </w:trPr>
                        <w:tc>
                          <w:tcPr>
                            <w:tcW w:w="1560" w:type="dxa"/>
                            <w:tcBorders>
                              <w:top w:val="nil"/>
                              <w:left w:val="nil"/>
                              <w:bottom w:val="nil"/>
                              <w:right w:val="nil"/>
                            </w:tcBorders>
                            <w:shd w:val="clear" w:color="auto" w:fill="auto"/>
                            <w:vAlign w:val="center"/>
                            <w:hideMark/>
                          </w:tcPr>
                          <w:p w14:paraId="07AF1AE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63A8D2C8"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5EAB36F2"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967B828"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4B10B2FE"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5AAF99A8"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1DA6A4A4"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D06DC8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B47F72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2E226A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8F2B6E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2609A8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F145A19"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2AD14800"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9C3F67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DD27A70"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18BBF54" w14:textId="77777777" w:rsidTr="00226F21">
                        <w:trPr>
                          <w:trHeight w:val="640"/>
                        </w:trPr>
                        <w:tc>
                          <w:tcPr>
                            <w:tcW w:w="1560" w:type="dxa"/>
                            <w:tcBorders>
                              <w:top w:val="nil"/>
                              <w:left w:val="nil"/>
                              <w:bottom w:val="nil"/>
                              <w:right w:val="nil"/>
                            </w:tcBorders>
                            <w:shd w:val="clear" w:color="auto" w:fill="auto"/>
                            <w:vAlign w:val="center"/>
                            <w:hideMark/>
                          </w:tcPr>
                          <w:p w14:paraId="3B569DFB"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4F77024"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2395D345"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5D6CEC4"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CC700BB"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5973E35E"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DE67A65"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DF2481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2C4543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0DF0B0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7B812E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BB9A9F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CB958B9"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3D8D6056"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73B5A6B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ACACF9F"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08D72B0F" w14:textId="77777777" w:rsidTr="00226F21">
                        <w:trPr>
                          <w:trHeight w:val="640"/>
                        </w:trPr>
                        <w:tc>
                          <w:tcPr>
                            <w:tcW w:w="1560" w:type="dxa"/>
                            <w:tcBorders>
                              <w:top w:val="nil"/>
                              <w:left w:val="nil"/>
                              <w:bottom w:val="nil"/>
                              <w:right w:val="nil"/>
                            </w:tcBorders>
                            <w:shd w:val="clear" w:color="auto" w:fill="auto"/>
                            <w:vAlign w:val="center"/>
                            <w:hideMark/>
                          </w:tcPr>
                          <w:p w14:paraId="1937FF0A"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143FF07C"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73F99451"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8BBEE5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6CB49198"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6426150"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1B9C25E3"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066378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C6DFE00"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2B647C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5EC67D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958BF69"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CB3CEDF"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191435E7"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764A02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A61E692"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1CFFC99C" w14:textId="77777777" w:rsidTr="00226F21">
                        <w:trPr>
                          <w:trHeight w:val="640"/>
                        </w:trPr>
                        <w:tc>
                          <w:tcPr>
                            <w:tcW w:w="1560" w:type="dxa"/>
                            <w:tcBorders>
                              <w:top w:val="nil"/>
                              <w:left w:val="nil"/>
                              <w:bottom w:val="nil"/>
                              <w:right w:val="nil"/>
                            </w:tcBorders>
                            <w:shd w:val="clear" w:color="auto" w:fill="auto"/>
                            <w:vAlign w:val="center"/>
                            <w:hideMark/>
                          </w:tcPr>
                          <w:p w14:paraId="419BA4E2"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0B11420E"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301FBF4C"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CFA8087"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4121A48B"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42B238BF"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A37BF78"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7B92E64"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6359D5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1E161A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E6D12AC"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9722EB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C783333"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1A50EEE4"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DE95F9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D06127A"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7A194045" w14:textId="77777777" w:rsidTr="00226F21">
                        <w:trPr>
                          <w:trHeight w:val="640"/>
                        </w:trPr>
                        <w:tc>
                          <w:tcPr>
                            <w:tcW w:w="1560" w:type="dxa"/>
                            <w:tcBorders>
                              <w:top w:val="nil"/>
                              <w:left w:val="nil"/>
                              <w:bottom w:val="nil"/>
                              <w:right w:val="nil"/>
                            </w:tcBorders>
                            <w:shd w:val="clear" w:color="auto" w:fill="auto"/>
                            <w:vAlign w:val="center"/>
                            <w:hideMark/>
                          </w:tcPr>
                          <w:p w14:paraId="1BE61FB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665C8D18"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079DC018"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9DEFB2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0A572932"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4CD424F3"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019A6A8E"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BF668C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71DA388"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717819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BD2821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5D4EA0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4238B5A"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2A5CFFD"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3E29040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68BBE88"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66A4C4F9" w14:textId="77777777" w:rsidTr="00226F21">
                        <w:trPr>
                          <w:trHeight w:val="660"/>
                        </w:trPr>
                        <w:tc>
                          <w:tcPr>
                            <w:tcW w:w="1560" w:type="dxa"/>
                            <w:tcBorders>
                              <w:top w:val="nil"/>
                              <w:left w:val="nil"/>
                              <w:bottom w:val="nil"/>
                              <w:right w:val="nil"/>
                            </w:tcBorders>
                            <w:shd w:val="clear" w:color="auto" w:fill="auto"/>
                            <w:vAlign w:val="center"/>
                            <w:hideMark/>
                          </w:tcPr>
                          <w:p w14:paraId="35C3813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2841E9D6"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03B48712"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3FAE663A"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20948AC0"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7D9BACC1"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583F737B"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53E09D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80BE32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B173B6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54E69C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C3DF50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2FEEDF2C"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9F46097"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F2A773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B2D5F11"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46D247CD" w14:textId="77777777" w:rsidTr="00226F21">
                        <w:trPr>
                          <w:trHeight w:val="560"/>
                        </w:trPr>
                        <w:tc>
                          <w:tcPr>
                            <w:tcW w:w="1560" w:type="dxa"/>
                            <w:tcBorders>
                              <w:top w:val="nil"/>
                              <w:left w:val="nil"/>
                              <w:bottom w:val="nil"/>
                              <w:right w:val="nil"/>
                            </w:tcBorders>
                            <w:shd w:val="clear" w:color="auto" w:fill="auto"/>
                            <w:vAlign w:val="center"/>
                            <w:hideMark/>
                          </w:tcPr>
                          <w:p w14:paraId="5A256E54"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69067F9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395A3726"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55027E7A"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5BBAE7B5"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2C57FF58"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46EB9EB9"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5834EB2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12F4AF6"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E5B6D87"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485835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10BDDBB"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F463788"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73CD4C1F"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5EE3AD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F554F5C"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3ED2EE8E" w14:textId="77777777" w:rsidTr="00226F21">
                        <w:trPr>
                          <w:trHeight w:val="560"/>
                        </w:trPr>
                        <w:tc>
                          <w:tcPr>
                            <w:tcW w:w="1560" w:type="dxa"/>
                            <w:tcBorders>
                              <w:top w:val="nil"/>
                              <w:left w:val="nil"/>
                              <w:bottom w:val="nil"/>
                              <w:right w:val="nil"/>
                            </w:tcBorders>
                            <w:shd w:val="clear" w:color="auto" w:fill="auto"/>
                            <w:vAlign w:val="center"/>
                            <w:hideMark/>
                          </w:tcPr>
                          <w:p w14:paraId="0C1952FA"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4290E995"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4C5DCBC6"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455F522E"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74E09416"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669E06FA"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577E8FBE"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2D5D4D9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6F7613A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FDC2B2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5C6F85C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3D6CEA21"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65ED9F8"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4FDCBABC"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61F4AE9D"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2DBA198" w14:textId="77777777" w:rsidR="00190FCA" w:rsidRPr="00226F21" w:rsidRDefault="00190FCA" w:rsidP="00226F21">
                            <w:pPr>
                              <w:jc w:val="center"/>
                              <w:rPr>
                                <w:rFonts w:ascii="Century Gothic" w:eastAsia="Times New Roman" w:hAnsi="Century Gothic" w:cs="Arial"/>
                                <w:color w:val="000000"/>
                                <w:sz w:val="22"/>
                                <w:szCs w:val="22"/>
                              </w:rPr>
                            </w:pPr>
                          </w:p>
                        </w:tc>
                      </w:tr>
                      <w:tr w:rsidR="00190FCA" w:rsidRPr="00226F21" w14:paraId="5F6C491E" w14:textId="77777777" w:rsidTr="00226F21">
                        <w:trPr>
                          <w:trHeight w:val="560"/>
                        </w:trPr>
                        <w:tc>
                          <w:tcPr>
                            <w:tcW w:w="1560" w:type="dxa"/>
                            <w:tcBorders>
                              <w:top w:val="nil"/>
                              <w:left w:val="nil"/>
                              <w:bottom w:val="nil"/>
                              <w:right w:val="nil"/>
                            </w:tcBorders>
                            <w:shd w:val="clear" w:color="auto" w:fill="auto"/>
                            <w:vAlign w:val="center"/>
                            <w:hideMark/>
                          </w:tcPr>
                          <w:p w14:paraId="3D16891E" w14:textId="77777777" w:rsidR="00190FCA" w:rsidRPr="00226F21" w:rsidRDefault="00190FCA" w:rsidP="00226F21">
                            <w:pPr>
                              <w:jc w:val="center"/>
                              <w:rPr>
                                <w:rFonts w:ascii="Century Gothic" w:eastAsia="Times New Roman" w:hAnsi="Century Gothic" w:cs="Arial"/>
                                <w:color w:val="000000"/>
                                <w:sz w:val="22"/>
                                <w:szCs w:val="22"/>
                              </w:rPr>
                            </w:pPr>
                          </w:p>
                        </w:tc>
                        <w:tc>
                          <w:tcPr>
                            <w:tcW w:w="280" w:type="dxa"/>
                            <w:tcBorders>
                              <w:top w:val="nil"/>
                              <w:left w:val="nil"/>
                              <w:bottom w:val="nil"/>
                              <w:right w:val="nil"/>
                            </w:tcBorders>
                            <w:shd w:val="clear" w:color="auto" w:fill="auto"/>
                            <w:vAlign w:val="center"/>
                            <w:hideMark/>
                          </w:tcPr>
                          <w:p w14:paraId="249711FA" w14:textId="77777777" w:rsidR="00190FCA" w:rsidRPr="00226F21" w:rsidRDefault="00190FCA" w:rsidP="00226F21">
                            <w:pPr>
                              <w:jc w:val="center"/>
                              <w:rPr>
                                <w:rFonts w:ascii="Century Gothic" w:eastAsia="Times New Roman" w:hAnsi="Century Gothic" w:cs="Arial"/>
                                <w:color w:val="000000"/>
                                <w:sz w:val="22"/>
                                <w:szCs w:val="22"/>
                              </w:rPr>
                            </w:pPr>
                          </w:p>
                        </w:tc>
                        <w:tc>
                          <w:tcPr>
                            <w:tcW w:w="440" w:type="dxa"/>
                            <w:tcBorders>
                              <w:top w:val="nil"/>
                              <w:left w:val="nil"/>
                              <w:bottom w:val="nil"/>
                              <w:right w:val="nil"/>
                            </w:tcBorders>
                            <w:shd w:val="clear" w:color="auto" w:fill="auto"/>
                            <w:vAlign w:val="center"/>
                            <w:hideMark/>
                          </w:tcPr>
                          <w:p w14:paraId="529961A3" w14:textId="77777777" w:rsidR="00190FCA" w:rsidRPr="00226F21" w:rsidRDefault="00190FCA" w:rsidP="00226F21">
                            <w:pPr>
                              <w:jc w:val="center"/>
                              <w:rPr>
                                <w:rFonts w:ascii="Century Gothic" w:eastAsia="Times New Roman" w:hAnsi="Century Gothic" w:cs="Arial"/>
                                <w:color w:val="000000"/>
                                <w:sz w:val="22"/>
                                <w:szCs w:val="22"/>
                              </w:rPr>
                            </w:pPr>
                          </w:p>
                        </w:tc>
                        <w:tc>
                          <w:tcPr>
                            <w:tcW w:w="680" w:type="dxa"/>
                            <w:tcBorders>
                              <w:top w:val="nil"/>
                              <w:left w:val="nil"/>
                              <w:bottom w:val="nil"/>
                              <w:right w:val="nil"/>
                            </w:tcBorders>
                            <w:shd w:val="clear" w:color="auto" w:fill="auto"/>
                            <w:vAlign w:val="center"/>
                            <w:hideMark/>
                          </w:tcPr>
                          <w:p w14:paraId="61437E6F" w14:textId="77777777" w:rsidR="00190FCA" w:rsidRPr="00226F21" w:rsidRDefault="00190FCA" w:rsidP="00226F21">
                            <w:pPr>
                              <w:jc w:val="center"/>
                              <w:rPr>
                                <w:rFonts w:ascii="Century Gothic" w:eastAsia="Times New Roman" w:hAnsi="Century Gothic" w:cs="Arial"/>
                                <w:color w:val="000000"/>
                                <w:sz w:val="22"/>
                                <w:szCs w:val="22"/>
                              </w:rPr>
                            </w:pPr>
                          </w:p>
                        </w:tc>
                        <w:tc>
                          <w:tcPr>
                            <w:tcW w:w="1680" w:type="dxa"/>
                            <w:tcBorders>
                              <w:top w:val="nil"/>
                              <w:left w:val="nil"/>
                              <w:bottom w:val="nil"/>
                              <w:right w:val="nil"/>
                            </w:tcBorders>
                            <w:shd w:val="clear" w:color="auto" w:fill="auto"/>
                            <w:vAlign w:val="center"/>
                            <w:hideMark/>
                          </w:tcPr>
                          <w:p w14:paraId="75564874" w14:textId="77777777" w:rsidR="00190FCA" w:rsidRPr="00226F21" w:rsidRDefault="00190FCA" w:rsidP="00226F21">
                            <w:pPr>
                              <w:jc w:val="center"/>
                              <w:rPr>
                                <w:rFonts w:ascii="Century Gothic" w:eastAsia="Times New Roman" w:hAnsi="Century Gothic" w:cs="Arial"/>
                                <w:color w:val="000000"/>
                                <w:sz w:val="22"/>
                                <w:szCs w:val="22"/>
                              </w:rPr>
                            </w:pPr>
                          </w:p>
                        </w:tc>
                        <w:tc>
                          <w:tcPr>
                            <w:tcW w:w="1660" w:type="dxa"/>
                            <w:tcBorders>
                              <w:top w:val="nil"/>
                              <w:left w:val="nil"/>
                              <w:bottom w:val="nil"/>
                              <w:right w:val="nil"/>
                            </w:tcBorders>
                            <w:shd w:val="clear" w:color="auto" w:fill="auto"/>
                            <w:vAlign w:val="center"/>
                            <w:hideMark/>
                          </w:tcPr>
                          <w:p w14:paraId="0A268C12" w14:textId="77777777" w:rsidR="00190FCA" w:rsidRPr="00226F21" w:rsidRDefault="00190FCA" w:rsidP="00226F21">
                            <w:pPr>
                              <w:jc w:val="center"/>
                              <w:rPr>
                                <w:rFonts w:ascii="Century Gothic" w:eastAsia="Times New Roman" w:hAnsi="Century Gothic" w:cs="Arial"/>
                                <w:color w:val="000000"/>
                                <w:sz w:val="22"/>
                                <w:szCs w:val="22"/>
                              </w:rPr>
                            </w:pPr>
                          </w:p>
                        </w:tc>
                        <w:tc>
                          <w:tcPr>
                            <w:tcW w:w="1740" w:type="dxa"/>
                            <w:tcBorders>
                              <w:top w:val="nil"/>
                              <w:left w:val="nil"/>
                              <w:bottom w:val="nil"/>
                              <w:right w:val="nil"/>
                            </w:tcBorders>
                            <w:shd w:val="clear" w:color="auto" w:fill="auto"/>
                            <w:vAlign w:val="center"/>
                            <w:hideMark/>
                          </w:tcPr>
                          <w:p w14:paraId="03D840D2"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A3B6732"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3F2B7C3"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4180A26F"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EE45A0E"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195FD43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0C5CB851" w14:textId="77777777" w:rsidR="00190FCA" w:rsidRPr="00226F21" w:rsidRDefault="00190FCA" w:rsidP="00226F21">
                            <w:pPr>
                              <w:jc w:val="center"/>
                              <w:rPr>
                                <w:rFonts w:ascii="Century Gothic" w:eastAsia="Times New Roman" w:hAnsi="Century Gothic" w:cs="Arial"/>
                                <w:color w:val="000000"/>
                                <w:sz w:val="22"/>
                                <w:szCs w:val="22"/>
                              </w:rPr>
                            </w:pPr>
                          </w:p>
                        </w:tc>
                        <w:tc>
                          <w:tcPr>
                            <w:tcW w:w="1300" w:type="dxa"/>
                            <w:tcBorders>
                              <w:top w:val="nil"/>
                              <w:left w:val="nil"/>
                              <w:bottom w:val="nil"/>
                              <w:right w:val="nil"/>
                            </w:tcBorders>
                            <w:shd w:val="clear" w:color="auto" w:fill="auto"/>
                            <w:vAlign w:val="center"/>
                            <w:hideMark/>
                          </w:tcPr>
                          <w:p w14:paraId="5C17C4B4" w14:textId="77777777" w:rsidR="00190FCA" w:rsidRPr="00226F21" w:rsidRDefault="00190FCA" w:rsidP="00226F21">
                            <w:pPr>
                              <w:jc w:val="center"/>
                              <w:rPr>
                                <w:rFonts w:ascii="Century Gothic" w:eastAsia="Times New Roman" w:hAnsi="Century Gothic" w:cs="Arial"/>
                                <w:color w:val="000000"/>
                                <w:sz w:val="22"/>
                                <w:szCs w:val="22"/>
                              </w:rPr>
                            </w:pPr>
                          </w:p>
                        </w:tc>
                        <w:tc>
                          <w:tcPr>
                            <w:tcW w:w="1460" w:type="dxa"/>
                            <w:tcBorders>
                              <w:top w:val="nil"/>
                              <w:left w:val="nil"/>
                              <w:bottom w:val="nil"/>
                              <w:right w:val="nil"/>
                            </w:tcBorders>
                            <w:shd w:val="clear" w:color="auto" w:fill="auto"/>
                            <w:vAlign w:val="center"/>
                            <w:hideMark/>
                          </w:tcPr>
                          <w:p w14:paraId="16E21FF5" w14:textId="77777777" w:rsidR="00190FCA" w:rsidRPr="00226F21" w:rsidRDefault="00190FCA" w:rsidP="00226F21">
                            <w:pPr>
                              <w:jc w:val="center"/>
                              <w:rPr>
                                <w:rFonts w:ascii="Century Gothic" w:eastAsia="Times New Roman" w:hAnsi="Century Gothic" w:cs="Arial"/>
                                <w:color w:val="000000"/>
                                <w:sz w:val="22"/>
                                <w:szCs w:val="22"/>
                              </w:rPr>
                            </w:pPr>
                          </w:p>
                        </w:tc>
                        <w:tc>
                          <w:tcPr>
                            <w:tcW w:w="1360" w:type="dxa"/>
                            <w:tcBorders>
                              <w:top w:val="nil"/>
                              <w:left w:val="nil"/>
                              <w:bottom w:val="nil"/>
                              <w:right w:val="nil"/>
                            </w:tcBorders>
                            <w:shd w:val="clear" w:color="auto" w:fill="auto"/>
                            <w:vAlign w:val="center"/>
                            <w:hideMark/>
                          </w:tcPr>
                          <w:p w14:paraId="7BF0C96D" w14:textId="77777777" w:rsidR="00190FCA" w:rsidRPr="00226F21" w:rsidRDefault="00190FCA" w:rsidP="00226F21">
                            <w:pPr>
                              <w:jc w:val="center"/>
                              <w:rPr>
                                <w:rFonts w:ascii="Century Gothic" w:eastAsia="Times New Roman" w:hAnsi="Century Gothic" w:cs="Arial"/>
                                <w:color w:val="000000"/>
                                <w:sz w:val="22"/>
                                <w:szCs w:val="22"/>
                              </w:rPr>
                            </w:pPr>
                          </w:p>
                        </w:tc>
                      </w:tr>
                    </w:tbl>
                    <w:p w14:paraId="583DDABD" w14:textId="77777777" w:rsidR="00190FCA" w:rsidRDefault="00190FCA" w:rsidP="008B0C4E"/>
                  </w:txbxContent>
                </v:textbox>
                <w10:wrap type="square"/>
              </v:shape>
            </w:pict>
          </mc:Fallback>
        </mc:AlternateContent>
      </w:r>
      <w:r w:rsidR="00E4664D" w:rsidRPr="00492095">
        <w:rPr>
          <w:rFonts w:ascii="Trebuchet MS" w:eastAsia="Cambria" w:hAnsi="Trebuchet MS"/>
          <w:sz w:val="24"/>
        </w:rPr>
        <w:t xml:space="preserve">The Dean Street </w:t>
      </w:r>
      <w:proofErr w:type="spellStart"/>
      <w:r w:rsidR="00E4664D" w:rsidRPr="00492095">
        <w:rPr>
          <w:rFonts w:ascii="Trebuchet MS" w:eastAsia="Cambria" w:hAnsi="Trebuchet MS"/>
          <w:sz w:val="24"/>
        </w:rPr>
        <w:t>bioswale</w:t>
      </w:r>
      <w:proofErr w:type="spellEnd"/>
      <w:r w:rsidR="00E4664D" w:rsidRPr="00492095">
        <w:rPr>
          <w:rFonts w:ascii="Trebuchet MS" w:eastAsia="Cambria" w:hAnsi="Trebuchet MS"/>
          <w:sz w:val="24"/>
        </w:rPr>
        <w:t xml:space="preserve"> </w:t>
      </w:r>
      <w:r w:rsidR="000B7233" w:rsidRPr="00492095">
        <w:rPr>
          <w:rFonts w:ascii="Trebuchet MS" w:eastAsia="Cambria" w:hAnsi="Trebuchet MS"/>
          <w:sz w:val="24"/>
        </w:rPr>
        <w:t xml:space="preserve">at focus </w:t>
      </w:r>
      <w:r w:rsidR="002A2170">
        <w:rPr>
          <w:rFonts w:ascii="Trebuchet MS" w:eastAsia="Cambria" w:hAnsi="Trebuchet MS"/>
          <w:sz w:val="24"/>
        </w:rPr>
        <w:t>is</w:t>
      </w:r>
      <w:r w:rsidR="000B7233" w:rsidRPr="00492095">
        <w:rPr>
          <w:rFonts w:ascii="Trebuchet MS" w:eastAsia="Cambria" w:hAnsi="Trebuchet MS"/>
          <w:sz w:val="24"/>
        </w:rPr>
        <w:t xml:space="preserve"> typical of the City’s recent </w:t>
      </w:r>
      <w:proofErr w:type="spellStart"/>
      <w:r w:rsidR="000B7233" w:rsidRPr="00492095">
        <w:rPr>
          <w:rFonts w:ascii="Trebuchet MS" w:eastAsia="Cambria" w:hAnsi="Trebuchet MS"/>
          <w:sz w:val="24"/>
        </w:rPr>
        <w:t>bioswale</w:t>
      </w:r>
      <w:proofErr w:type="spellEnd"/>
      <w:r w:rsidR="000B7233" w:rsidRPr="00492095">
        <w:rPr>
          <w:rFonts w:ascii="Trebuchet MS" w:eastAsia="Cambria" w:hAnsi="Trebuchet MS"/>
          <w:sz w:val="24"/>
        </w:rPr>
        <w:t xml:space="preserve"> design: 20 feet by five feet with a five- </w:t>
      </w:r>
      <w:r w:rsidR="00E4664D" w:rsidRPr="00492095">
        <w:rPr>
          <w:rFonts w:ascii="Trebuchet MS" w:eastAsia="Cambria" w:hAnsi="Trebuchet MS"/>
          <w:sz w:val="24"/>
        </w:rPr>
        <w:t xml:space="preserve">to 10-foot </w:t>
      </w:r>
      <w:r w:rsidR="000B7233" w:rsidRPr="00492095">
        <w:rPr>
          <w:rFonts w:ascii="Trebuchet MS" w:eastAsia="Cambria" w:hAnsi="Trebuchet MS"/>
          <w:sz w:val="24"/>
        </w:rPr>
        <w:t xml:space="preserve">deep </w:t>
      </w:r>
      <w:r w:rsidR="00E4664D" w:rsidRPr="00492095">
        <w:rPr>
          <w:rFonts w:ascii="Trebuchet MS" w:eastAsia="Cambria" w:hAnsi="Trebuchet MS"/>
          <w:sz w:val="24"/>
        </w:rPr>
        <w:t xml:space="preserve">pit. </w:t>
      </w:r>
      <w:r w:rsidR="002A2170">
        <w:rPr>
          <w:rFonts w:ascii="Trebuchet MS" w:eastAsia="Cambria" w:hAnsi="Trebuchet MS"/>
          <w:sz w:val="24"/>
        </w:rPr>
        <w:t xml:space="preserve">The </w:t>
      </w:r>
      <w:proofErr w:type="gramStart"/>
      <w:r w:rsidR="002A2170">
        <w:rPr>
          <w:rFonts w:ascii="Trebuchet MS" w:eastAsia="Cambria" w:hAnsi="Trebuchet MS"/>
          <w:sz w:val="24"/>
        </w:rPr>
        <w:t xml:space="preserve">handful of </w:t>
      </w:r>
      <w:proofErr w:type="spellStart"/>
      <w:r w:rsidR="002A2170">
        <w:rPr>
          <w:rFonts w:ascii="Trebuchet MS" w:eastAsia="Cambria" w:hAnsi="Trebuchet MS"/>
          <w:sz w:val="24"/>
        </w:rPr>
        <w:t>bioswales</w:t>
      </w:r>
      <w:proofErr w:type="spellEnd"/>
      <w:r w:rsidR="002A2170">
        <w:rPr>
          <w:rFonts w:ascii="Trebuchet MS" w:eastAsia="Cambria" w:hAnsi="Trebuchet MS"/>
          <w:sz w:val="24"/>
        </w:rPr>
        <w:t xml:space="preserve"> near the Dean Street location</w:t>
      </w:r>
      <w:r w:rsidR="00E4664D" w:rsidRPr="00492095">
        <w:rPr>
          <w:rFonts w:ascii="Trebuchet MS" w:eastAsia="Cambria" w:hAnsi="Trebuchet MS"/>
          <w:sz w:val="24"/>
        </w:rPr>
        <w:t xml:space="preserve"> </w:t>
      </w:r>
      <w:r w:rsidR="000B7233" w:rsidRPr="00492095">
        <w:rPr>
          <w:rFonts w:ascii="Trebuchet MS" w:eastAsia="Cambria" w:hAnsi="Trebuchet MS"/>
          <w:sz w:val="24"/>
        </w:rPr>
        <w:t>w</w:t>
      </w:r>
      <w:r w:rsidR="002A2170">
        <w:rPr>
          <w:rFonts w:ascii="Trebuchet MS" w:eastAsia="Cambria" w:hAnsi="Trebuchet MS"/>
          <w:sz w:val="24"/>
        </w:rPr>
        <w:t>ere</w:t>
      </w:r>
      <w:proofErr w:type="gramEnd"/>
      <w:r w:rsidR="000B7233" w:rsidRPr="00492095">
        <w:rPr>
          <w:rFonts w:ascii="Trebuchet MS" w:eastAsia="Cambria" w:hAnsi="Trebuchet MS"/>
          <w:sz w:val="24"/>
        </w:rPr>
        <w:t xml:space="preserve"> </w:t>
      </w:r>
      <w:r w:rsidR="00E4664D" w:rsidRPr="00492095">
        <w:rPr>
          <w:rFonts w:ascii="Trebuchet MS" w:eastAsia="Cambria" w:hAnsi="Trebuchet MS"/>
          <w:sz w:val="24"/>
        </w:rPr>
        <w:t>designed to handle 1,870 g</w:t>
      </w:r>
      <w:r w:rsidR="000B7233" w:rsidRPr="00492095">
        <w:rPr>
          <w:rFonts w:ascii="Trebuchet MS" w:eastAsia="Cambria" w:hAnsi="Trebuchet MS"/>
          <w:sz w:val="24"/>
        </w:rPr>
        <w:t>allons of storm</w:t>
      </w:r>
      <w:r w:rsidR="008355C2">
        <w:rPr>
          <w:rFonts w:ascii="Trebuchet MS" w:eastAsia="Cambria" w:hAnsi="Trebuchet MS"/>
          <w:sz w:val="24"/>
        </w:rPr>
        <w:t xml:space="preserve"> </w:t>
      </w:r>
      <w:r w:rsidR="000B7233" w:rsidRPr="00492095">
        <w:rPr>
          <w:rFonts w:ascii="Trebuchet MS" w:eastAsia="Cambria" w:hAnsi="Trebuchet MS"/>
          <w:sz w:val="24"/>
        </w:rPr>
        <w:t xml:space="preserve">water </w:t>
      </w:r>
      <w:r w:rsidR="002A2170">
        <w:rPr>
          <w:rFonts w:ascii="Trebuchet MS" w:eastAsia="Cambria" w:hAnsi="Trebuchet MS"/>
          <w:sz w:val="24"/>
        </w:rPr>
        <w:t xml:space="preserve">each </w:t>
      </w:r>
      <w:r w:rsidR="000B7233" w:rsidRPr="00492095">
        <w:rPr>
          <w:rFonts w:ascii="Trebuchet MS" w:eastAsia="Cambria" w:hAnsi="Trebuchet MS"/>
          <w:sz w:val="24"/>
        </w:rPr>
        <w:t>per storm.</w:t>
      </w:r>
      <w:r w:rsidR="00E4664D" w:rsidRPr="00492095">
        <w:rPr>
          <w:rStyle w:val="FootnoteReference"/>
          <w:rFonts w:ascii="Trebuchet MS" w:eastAsia="Cambria" w:hAnsi="Trebuchet MS"/>
          <w:sz w:val="24"/>
        </w:rPr>
        <w:footnoteReference w:id="7"/>
      </w:r>
      <w:r w:rsidRPr="008B0C4E">
        <w:rPr>
          <w:rFonts w:ascii="Trebuchet MS" w:eastAsia="Cambria" w:hAnsi="Trebuchet MS"/>
          <w:noProof/>
          <w:sz w:val="24"/>
          <w:lang w:eastAsia="en-US"/>
        </w:rPr>
        <w:t xml:space="preserve"> </w:t>
      </w:r>
    </w:p>
    <w:p w14:paraId="5B95697D" w14:textId="08100A05" w:rsidR="00B54EE0" w:rsidRDefault="008B0C4E" w:rsidP="00DA5AE3">
      <w:pPr>
        <w:pStyle w:val="Pa4"/>
        <w:spacing w:after="120" w:line="276" w:lineRule="auto"/>
        <w:rPr>
          <w:rStyle w:val="A5"/>
          <w:rFonts w:ascii="Trebuchet MS" w:hAnsi="Trebuchet MS" w:cs="Arial"/>
          <w:sz w:val="24"/>
          <w:szCs w:val="24"/>
        </w:rPr>
      </w:pPr>
      <w:r w:rsidRPr="00492095">
        <w:rPr>
          <w:rFonts w:ascii="Trebuchet MS" w:eastAsia="Cambria" w:hAnsi="Trebuchet MS"/>
          <w:noProof/>
        </w:rPr>
        <mc:AlternateContent>
          <mc:Choice Requires="wps">
            <w:drawing>
              <wp:anchor distT="0" distB="0" distL="114300" distR="114300" simplePos="0" relativeHeight="251679744" behindDoc="0" locked="0" layoutInCell="1" allowOverlap="1" wp14:anchorId="15A611AA" wp14:editId="7F306A85">
                <wp:simplePos x="0" y="0"/>
                <wp:positionH relativeFrom="column">
                  <wp:posOffset>2286000</wp:posOffset>
                </wp:positionH>
                <wp:positionV relativeFrom="paragraph">
                  <wp:posOffset>292735</wp:posOffset>
                </wp:positionV>
                <wp:extent cx="3657600" cy="10287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36576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DBF50A" w14:textId="77777777" w:rsidR="00190FCA" w:rsidRPr="00492095" w:rsidRDefault="00190FCA" w:rsidP="008B0C4E">
                            <w:pPr>
                              <w:rPr>
                                <w:rFonts w:ascii="Trebuchet MS" w:hAnsi="Trebuchet MS"/>
                                <w:i/>
                                <w:color w:val="808080" w:themeColor="background1" w:themeShade="80"/>
                                <w:sz w:val="20"/>
                                <w:szCs w:val="20"/>
                              </w:rPr>
                            </w:pPr>
                            <w:r>
                              <w:rPr>
                                <w:rFonts w:ascii="Trebuchet MS" w:hAnsi="Trebuchet MS"/>
                                <w:i/>
                                <w:color w:val="808080" w:themeColor="background1" w:themeShade="80"/>
                                <w:sz w:val="20"/>
                                <w:szCs w:val="20"/>
                              </w:rPr>
                              <w:t xml:space="preserve">Maintenance and reconstruction costs are important when analyzing infrastructure options. In the case of right-of-way </w:t>
                            </w:r>
                            <w:proofErr w:type="spellStart"/>
                            <w:r>
                              <w:rPr>
                                <w:rFonts w:ascii="Trebuchet MS" w:hAnsi="Trebuchet MS"/>
                                <w:i/>
                                <w:color w:val="808080" w:themeColor="background1" w:themeShade="80"/>
                                <w:sz w:val="20"/>
                                <w:szCs w:val="20"/>
                              </w:rPr>
                              <w:t>bioswales</w:t>
                            </w:r>
                            <w:proofErr w:type="spellEnd"/>
                            <w:r>
                              <w:rPr>
                                <w:rFonts w:ascii="Trebuchet MS" w:hAnsi="Trebuchet MS"/>
                                <w:i/>
                                <w:color w:val="808080" w:themeColor="background1" w:themeShade="80"/>
                                <w:sz w:val="20"/>
                                <w:szCs w:val="20"/>
                              </w:rPr>
                              <w:t xml:space="preserve"> and permeable pavement, however, initial construction costs appear to dominate when calculating total costs across the life of each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180pt;margin-top:23.05pt;width:4in;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" filled="f" stroked="f">
                <v:textbox>
                  <w:txbxContent>
                    <w:p w14:paraId="7DDBF50A" w14:textId="77777777" w:rsidR="00190FCA" w:rsidRPr="00492095" w:rsidRDefault="00190FCA" w:rsidP="008B0C4E">
                      <w:pPr>
                        <w:rPr>
                          <w:rFonts w:ascii="Trebuchet MS" w:hAnsi="Trebuchet MS"/>
                          <w:i/>
                          <w:color w:val="808080" w:themeColor="background1" w:themeShade="80"/>
                          <w:sz w:val="20"/>
                          <w:szCs w:val="20"/>
                        </w:rPr>
                      </w:pPr>
                      <w:r>
                        <w:rPr>
                          <w:rFonts w:ascii="Trebuchet MS" w:hAnsi="Trebuchet MS"/>
                          <w:i/>
                          <w:color w:val="808080" w:themeColor="background1" w:themeShade="80"/>
                          <w:sz w:val="20"/>
                          <w:szCs w:val="20"/>
                        </w:rPr>
                        <w:t xml:space="preserve">Maintenance and reconstruction costs are important when analyzing infrastructure options. In the case of right-of-way </w:t>
                      </w:r>
                      <w:proofErr w:type="spellStart"/>
                      <w:r>
                        <w:rPr>
                          <w:rFonts w:ascii="Trebuchet MS" w:hAnsi="Trebuchet MS"/>
                          <w:i/>
                          <w:color w:val="808080" w:themeColor="background1" w:themeShade="80"/>
                          <w:sz w:val="20"/>
                          <w:szCs w:val="20"/>
                        </w:rPr>
                        <w:t>bioswales</w:t>
                      </w:r>
                      <w:proofErr w:type="spellEnd"/>
                      <w:r>
                        <w:rPr>
                          <w:rFonts w:ascii="Trebuchet MS" w:hAnsi="Trebuchet MS"/>
                          <w:i/>
                          <w:color w:val="808080" w:themeColor="background1" w:themeShade="80"/>
                          <w:sz w:val="20"/>
                          <w:szCs w:val="20"/>
                        </w:rPr>
                        <w:t xml:space="preserve"> and permeable pavement, however, initial construction costs appear to dominate when calculating total costs across the life of each option.</w:t>
                      </w:r>
                    </w:p>
                  </w:txbxContent>
                </v:textbox>
                <w10:wrap type="square"/>
              </v:shape>
            </w:pict>
          </mc:Fallback>
        </mc:AlternateContent>
      </w:r>
      <w:r w:rsidR="0084508D" w:rsidRPr="00492095">
        <w:rPr>
          <w:rFonts w:ascii="Trebuchet MS" w:hAnsi="Trebuchet MS" w:cs="Arial"/>
        </w:rPr>
        <w:t xml:space="preserve">The analysis also uses information from recent permeable pavement installations. The Transportation Department installed prefabricated permeable pavement in </w:t>
      </w:r>
      <w:r w:rsidR="0084508D" w:rsidRPr="00492095">
        <w:rPr>
          <w:rStyle w:val="A5"/>
          <w:rFonts w:ascii="Trebuchet MS" w:hAnsi="Trebuchet MS" w:cs="Arial"/>
          <w:sz w:val="24"/>
          <w:szCs w:val="24"/>
        </w:rPr>
        <w:t>the winter of 2012 at two intersections in Queens in response to persistent flooding.</w:t>
      </w:r>
      <w:r w:rsidR="0084508D" w:rsidRPr="00492095">
        <w:rPr>
          <w:rStyle w:val="FootnoteReference"/>
          <w:rFonts w:ascii="Trebuchet MS" w:hAnsi="Trebuchet MS" w:cs="Arial"/>
          <w:color w:val="000000"/>
        </w:rPr>
        <w:footnoteReference w:id="8"/>
      </w:r>
      <w:r w:rsidR="0084508D" w:rsidRPr="00492095">
        <w:rPr>
          <w:rStyle w:val="A5"/>
          <w:rFonts w:ascii="Trebuchet MS" w:hAnsi="Trebuchet MS" w:cs="Arial"/>
          <w:sz w:val="24"/>
          <w:szCs w:val="24"/>
        </w:rPr>
        <w:t xml:space="preserve"> The installations allowed storm</w:t>
      </w:r>
      <w:r w:rsidR="008355C2">
        <w:rPr>
          <w:rStyle w:val="A5"/>
          <w:rFonts w:ascii="Trebuchet MS" w:hAnsi="Trebuchet MS" w:cs="Arial"/>
          <w:sz w:val="24"/>
          <w:szCs w:val="24"/>
        </w:rPr>
        <w:t xml:space="preserve"> </w:t>
      </w:r>
      <w:r w:rsidR="0084508D" w:rsidRPr="00492095">
        <w:rPr>
          <w:rStyle w:val="A5"/>
          <w:rFonts w:ascii="Trebuchet MS" w:hAnsi="Trebuchet MS" w:cs="Arial"/>
          <w:sz w:val="24"/>
          <w:szCs w:val="24"/>
        </w:rPr>
        <w:t xml:space="preserve">water to seep into the ground within minutes </w:t>
      </w:r>
      <w:r w:rsidR="002A2170">
        <w:rPr>
          <w:rStyle w:val="A5"/>
          <w:rFonts w:ascii="Trebuchet MS" w:hAnsi="Trebuchet MS" w:cs="Arial"/>
          <w:sz w:val="24"/>
          <w:szCs w:val="24"/>
        </w:rPr>
        <w:t>(rain had, prior to the work, been collecting in pools at the intersection’s curbs)</w:t>
      </w:r>
      <w:r w:rsidR="0084508D" w:rsidRPr="00492095">
        <w:rPr>
          <w:rStyle w:val="A5"/>
          <w:rFonts w:ascii="Trebuchet MS" w:hAnsi="Trebuchet MS" w:cs="Arial"/>
          <w:sz w:val="24"/>
          <w:szCs w:val="24"/>
        </w:rPr>
        <w:t xml:space="preserve">. </w:t>
      </w:r>
      <w:r w:rsidR="0084508D" w:rsidRPr="00492095">
        <w:rPr>
          <w:rFonts w:ascii="Trebuchet MS" w:hAnsi="Trebuchet MS" w:cs="Arial"/>
          <w:color w:val="000000"/>
        </w:rPr>
        <w:t xml:space="preserve">The department viewed permeable pavement as a </w:t>
      </w:r>
      <w:r w:rsidR="00E4664D" w:rsidRPr="00492095">
        <w:rPr>
          <w:rStyle w:val="A5"/>
          <w:rFonts w:ascii="Trebuchet MS" w:hAnsi="Trebuchet MS" w:cs="Arial"/>
          <w:sz w:val="24"/>
          <w:szCs w:val="24"/>
        </w:rPr>
        <w:t xml:space="preserve">flexible alternative to </w:t>
      </w:r>
      <w:proofErr w:type="spellStart"/>
      <w:r w:rsidR="00E4664D" w:rsidRPr="00492095">
        <w:rPr>
          <w:rStyle w:val="A5"/>
          <w:rFonts w:ascii="Trebuchet MS" w:hAnsi="Trebuchet MS" w:cs="Arial"/>
          <w:sz w:val="24"/>
          <w:szCs w:val="24"/>
        </w:rPr>
        <w:t>bioswales</w:t>
      </w:r>
      <w:proofErr w:type="spellEnd"/>
      <w:r w:rsidR="0084508D" w:rsidRPr="00492095">
        <w:rPr>
          <w:rStyle w:val="A5"/>
          <w:rFonts w:ascii="Trebuchet MS" w:hAnsi="Trebuchet MS" w:cs="Arial"/>
          <w:sz w:val="24"/>
          <w:szCs w:val="24"/>
        </w:rPr>
        <w:t xml:space="preserve"> that, while limited in applications,</w:t>
      </w:r>
      <w:r w:rsidR="00E4664D" w:rsidRPr="00492095">
        <w:rPr>
          <w:rStyle w:val="A5"/>
          <w:rFonts w:ascii="Trebuchet MS" w:hAnsi="Trebuchet MS" w:cs="Arial"/>
          <w:sz w:val="24"/>
          <w:szCs w:val="24"/>
        </w:rPr>
        <w:t xml:space="preserve"> </w:t>
      </w:r>
      <w:r w:rsidR="0084508D" w:rsidRPr="00492095">
        <w:rPr>
          <w:rStyle w:val="A5"/>
          <w:rFonts w:ascii="Trebuchet MS" w:hAnsi="Trebuchet MS" w:cs="Arial"/>
          <w:sz w:val="24"/>
          <w:szCs w:val="24"/>
        </w:rPr>
        <w:t>appeared to perform well in low-</w:t>
      </w:r>
      <w:r w:rsidR="00E4664D" w:rsidRPr="00492095">
        <w:rPr>
          <w:rStyle w:val="A5"/>
          <w:rFonts w:ascii="Trebuchet MS" w:hAnsi="Trebuchet MS" w:cs="Arial"/>
          <w:sz w:val="24"/>
          <w:szCs w:val="24"/>
        </w:rPr>
        <w:t>density</w:t>
      </w:r>
      <w:r w:rsidR="0084508D" w:rsidRPr="00492095">
        <w:rPr>
          <w:rStyle w:val="A5"/>
          <w:rFonts w:ascii="Trebuchet MS" w:hAnsi="Trebuchet MS" w:cs="Arial"/>
          <w:sz w:val="24"/>
          <w:szCs w:val="24"/>
        </w:rPr>
        <w:t xml:space="preserve"> areas where rainfall</w:t>
      </w:r>
      <w:r w:rsidR="002A2170">
        <w:rPr>
          <w:rStyle w:val="A5"/>
          <w:rFonts w:ascii="Trebuchet MS" w:hAnsi="Trebuchet MS" w:cs="Arial"/>
          <w:sz w:val="24"/>
          <w:szCs w:val="24"/>
        </w:rPr>
        <w:t xml:space="preserve"> pooling had been a problem</w:t>
      </w:r>
      <w:r w:rsidR="00E4664D" w:rsidRPr="00492095">
        <w:rPr>
          <w:rStyle w:val="A5"/>
          <w:rFonts w:ascii="Trebuchet MS" w:hAnsi="Trebuchet MS" w:cs="Arial"/>
          <w:sz w:val="24"/>
          <w:szCs w:val="24"/>
        </w:rPr>
        <w:t xml:space="preserve">. </w:t>
      </w:r>
      <w:r w:rsidR="0084508D" w:rsidRPr="00492095">
        <w:rPr>
          <w:rStyle w:val="A5"/>
          <w:rFonts w:ascii="Trebuchet MS" w:hAnsi="Trebuchet MS" w:cs="Arial"/>
          <w:sz w:val="24"/>
          <w:szCs w:val="24"/>
        </w:rPr>
        <w:t xml:space="preserve">The department </w:t>
      </w:r>
      <w:r w:rsidR="00A81A5A">
        <w:rPr>
          <w:rStyle w:val="A5"/>
          <w:rFonts w:ascii="Trebuchet MS" w:hAnsi="Trebuchet MS" w:cs="Arial"/>
          <w:sz w:val="24"/>
          <w:szCs w:val="24"/>
        </w:rPr>
        <w:t xml:space="preserve">has </w:t>
      </w:r>
      <w:r w:rsidR="002A2170">
        <w:rPr>
          <w:rStyle w:val="A5"/>
          <w:rFonts w:ascii="Trebuchet MS" w:hAnsi="Trebuchet MS" w:cs="Arial"/>
          <w:sz w:val="24"/>
          <w:szCs w:val="24"/>
        </w:rPr>
        <w:t xml:space="preserve">also </w:t>
      </w:r>
      <w:r w:rsidR="00A81A5A">
        <w:rPr>
          <w:rStyle w:val="A5"/>
          <w:rFonts w:ascii="Trebuchet MS" w:hAnsi="Trebuchet MS" w:cs="Arial"/>
          <w:sz w:val="24"/>
          <w:szCs w:val="24"/>
        </w:rPr>
        <w:t>installed</w:t>
      </w:r>
      <w:r w:rsidR="0084508D" w:rsidRPr="00492095">
        <w:rPr>
          <w:rStyle w:val="A5"/>
          <w:rFonts w:ascii="Trebuchet MS" w:hAnsi="Trebuchet MS" w:cs="Arial"/>
          <w:sz w:val="24"/>
          <w:szCs w:val="24"/>
        </w:rPr>
        <w:t xml:space="preserve"> permeable pavement in College Point, Queens after receiving a grant.</w:t>
      </w:r>
    </w:p>
    <w:p w14:paraId="023691B5" w14:textId="77777777" w:rsidR="002A2170" w:rsidRPr="00492095" w:rsidRDefault="002A2170" w:rsidP="00492095">
      <w:pPr>
        <w:pStyle w:val="Default"/>
      </w:pPr>
    </w:p>
    <w:p w14:paraId="0DFCD347" w14:textId="77777777" w:rsidR="00B54EE0" w:rsidRPr="00492095" w:rsidRDefault="00B54EE0" w:rsidP="00DA5AE3">
      <w:pPr>
        <w:pStyle w:val="Heading1"/>
        <w:spacing w:before="0" w:after="120" w:line="276" w:lineRule="auto"/>
        <w:rPr>
          <w:rFonts w:ascii="Trebuchet MS" w:hAnsi="Trebuchet MS" w:cs="Arial"/>
        </w:rPr>
      </w:pPr>
      <w:bookmarkStart w:id="7" w:name="_Toc266201042"/>
      <w:r w:rsidRPr="00492095">
        <w:rPr>
          <w:rFonts w:ascii="Trebuchet MS" w:hAnsi="Trebuchet MS" w:cs="Arial"/>
          <w:highlight w:val="white"/>
        </w:rPr>
        <w:t>Analysis period</w:t>
      </w:r>
      <w:bookmarkEnd w:id="7"/>
    </w:p>
    <w:p w14:paraId="37420FBA" w14:textId="2D7E8C5C" w:rsidR="00B54EE0" w:rsidRPr="00492095" w:rsidRDefault="0084508D" w:rsidP="00DA5AE3">
      <w:pPr>
        <w:pStyle w:val="Normal1"/>
        <w:spacing w:after="120"/>
        <w:rPr>
          <w:rFonts w:ascii="Trebuchet MS" w:hAnsi="Trebuchet MS"/>
          <w:sz w:val="24"/>
        </w:rPr>
      </w:pPr>
      <w:r w:rsidRPr="00492095">
        <w:rPr>
          <w:rFonts w:ascii="Trebuchet MS" w:eastAsia="Cambria" w:hAnsi="Trebuchet MS"/>
          <w:sz w:val="24"/>
          <w:highlight w:val="white"/>
        </w:rPr>
        <w:t>This model prepares agencies to</w:t>
      </w:r>
      <w:r w:rsidR="00B54EE0" w:rsidRPr="00492095">
        <w:rPr>
          <w:rFonts w:ascii="Trebuchet MS" w:eastAsia="Cambria" w:hAnsi="Trebuchet MS"/>
          <w:sz w:val="24"/>
          <w:highlight w:val="white"/>
        </w:rPr>
        <w:t xml:space="preserve"> ana</w:t>
      </w:r>
      <w:r w:rsidRPr="00492095">
        <w:rPr>
          <w:rFonts w:ascii="Trebuchet MS" w:eastAsia="Cambria" w:hAnsi="Trebuchet MS"/>
          <w:sz w:val="24"/>
          <w:highlight w:val="white"/>
        </w:rPr>
        <w:t xml:space="preserve">lyze </w:t>
      </w:r>
      <w:r w:rsidR="006419E6" w:rsidRPr="00492095">
        <w:rPr>
          <w:rFonts w:ascii="Trebuchet MS" w:eastAsia="Cambria" w:hAnsi="Trebuchet MS"/>
          <w:sz w:val="24"/>
          <w:highlight w:val="white"/>
        </w:rPr>
        <w:t>alternative</w:t>
      </w:r>
      <w:r w:rsidR="002A2170">
        <w:rPr>
          <w:rFonts w:ascii="Trebuchet MS" w:eastAsia="Cambria" w:hAnsi="Trebuchet MS"/>
          <w:sz w:val="24"/>
          <w:highlight w:val="white"/>
        </w:rPr>
        <w:t>s</w:t>
      </w:r>
      <w:r w:rsidR="006419E6" w:rsidRPr="00492095">
        <w:rPr>
          <w:rFonts w:ascii="Trebuchet MS" w:eastAsia="Cambria" w:hAnsi="Trebuchet MS"/>
          <w:sz w:val="24"/>
          <w:highlight w:val="white"/>
        </w:rPr>
        <w:t xml:space="preserve"> over a 30</w:t>
      </w:r>
      <w:r w:rsidRPr="00492095">
        <w:rPr>
          <w:rFonts w:ascii="Trebuchet MS" w:eastAsia="Cambria" w:hAnsi="Trebuchet MS"/>
          <w:sz w:val="24"/>
          <w:highlight w:val="white"/>
        </w:rPr>
        <w:t>-year period of time</w:t>
      </w:r>
      <w:r w:rsidR="002A2170">
        <w:rPr>
          <w:rFonts w:ascii="Trebuchet MS" w:eastAsia="Cambria" w:hAnsi="Trebuchet MS"/>
          <w:sz w:val="24"/>
          <w:highlight w:val="white"/>
        </w:rPr>
        <w:t>. This i</w:t>
      </w:r>
      <w:r w:rsidR="00B54EE0" w:rsidRPr="00492095">
        <w:rPr>
          <w:rFonts w:ascii="Trebuchet MS" w:eastAsia="Cambria" w:hAnsi="Trebuchet MS"/>
          <w:sz w:val="24"/>
          <w:highlight w:val="white"/>
        </w:rPr>
        <w:t xml:space="preserve">s slightly shorter </w:t>
      </w:r>
      <w:r w:rsidR="006419E6" w:rsidRPr="00492095">
        <w:rPr>
          <w:rFonts w:ascii="Trebuchet MS" w:eastAsia="Cambria" w:hAnsi="Trebuchet MS"/>
          <w:sz w:val="24"/>
          <w:highlight w:val="white"/>
        </w:rPr>
        <w:t>than the 40</w:t>
      </w:r>
      <w:r w:rsidR="00B54EE0" w:rsidRPr="00492095">
        <w:rPr>
          <w:rFonts w:ascii="Trebuchet MS" w:eastAsia="Cambria" w:hAnsi="Trebuchet MS"/>
          <w:sz w:val="24"/>
          <w:highlight w:val="white"/>
        </w:rPr>
        <w:t>-year time</w:t>
      </w:r>
      <w:r w:rsidR="00A81A5A">
        <w:rPr>
          <w:rFonts w:ascii="Trebuchet MS" w:eastAsia="Cambria" w:hAnsi="Trebuchet MS"/>
          <w:sz w:val="24"/>
          <w:highlight w:val="white"/>
        </w:rPr>
        <w:t xml:space="preserve"> </w:t>
      </w:r>
      <w:r w:rsidR="00B54EE0" w:rsidRPr="00492095">
        <w:rPr>
          <w:rFonts w:ascii="Trebuchet MS" w:eastAsia="Cambria" w:hAnsi="Trebuchet MS"/>
          <w:sz w:val="24"/>
          <w:highlight w:val="white"/>
        </w:rPr>
        <w:t>frame identified by</w:t>
      </w:r>
      <w:r w:rsidRPr="00492095">
        <w:rPr>
          <w:rFonts w:ascii="Trebuchet MS" w:eastAsia="Cambria" w:hAnsi="Trebuchet MS"/>
          <w:sz w:val="24"/>
          <w:highlight w:val="white"/>
        </w:rPr>
        <w:t xml:space="preserve"> the State</w:t>
      </w:r>
      <w:r w:rsidR="00A81A5A">
        <w:rPr>
          <w:rFonts w:ascii="Trebuchet MS" w:eastAsia="Cambria" w:hAnsi="Trebuchet MS"/>
          <w:sz w:val="24"/>
          <w:highlight w:val="white"/>
        </w:rPr>
        <w:t xml:space="preserve"> </w:t>
      </w:r>
      <w:r w:rsidR="00B54EE0" w:rsidRPr="00492095">
        <w:rPr>
          <w:rFonts w:ascii="Trebuchet MS" w:eastAsia="Cambria" w:hAnsi="Trebuchet MS"/>
          <w:sz w:val="24"/>
          <w:highlight w:val="white"/>
        </w:rPr>
        <w:t xml:space="preserve">as </w:t>
      </w:r>
      <w:r w:rsidR="007C0BC0" w:rsidRPr="00492095">
        <w:rPr>
          <w:rFonts w:ascii="Trebuchet MS" w:eastAsia="Cambria" w:hAnsi="Trebuchet MS"/>
          <w:sz w:val="24"/>
          <w:highlight w:val="white"/>
        </w:rPr>
        <w:t>common practice</w:t>
      </w:r>
      <w:r w:rsidR="006419E6" w:rsidRPr="00492095">
        <w:rPr>
          <w:rFonts w:ascii="Trebuchet MS" w:eastAsia="Cambria" w:hAnsi="Trebuchet MS"/>
          <w:sz w:val="24"/>
          <w:highlight w:val="white"/>
        </w:rPr>
        <w:t xml:space="preserve"> for analysis of pavement alternatives</w:t>
      </w:r>
      <w:r w:rsidR="002A2170">
        <w:rPr>
          <w:rFonts w:ascii="Trebuchet MS" w:eastAsia="Cambria" w:hAnsi="Trebuchet MS"/>
          <w:sz w:val="24"/>
          <w:highlight w:val="white"/>
        </w:rPr>
        <w:t xml:space="preserve">, but it is still </w:t>
      </w:r>
      <w:r w:rsidR="00B54EE0" w:rsidRPr="00492095">
        <w:rPr>
          <w:rFonts w:ascii="Trebuchet MS" w:eastAsia="Cambria" w:hAnsi="Trebuchet MS"/>
          <w:sz w:val="24"/>
          <w:highlight w:val="white"/>
        </w:rPr>
        <w:t xml:space="preserve">enough </w:t>
      </w:r>
      <w:r w:rsidR="002A2170">
        <w:rPr>
          <w:rFonts w:ascii="Trebuchet MS" w:eastAsia="Cambria" w:hAnsi="Trebuchet MS"/>
          <w:sz w:val="24"/>
          <w:highlight w:val="white"/>
        </w:rPr>
        <w:t xml:space="preserve">time </w:t>
      </w:r>
      <w:r w:rsidR="00B54EE0" w:rsidRPr="00492095">
        <w:rPr>
          <w:rFonts w:ascii="Trebuchet MS" w:eastAsia="Cambria" w:hAnsi="Trebuchet MS"/>
          <w:sz w:val="24"/>
          <w:highlight w:val="white"/>
        </w:rPr>
        <w:t xml:space="preserve">to include one </w:t>
      </w:r>
      <w:r w:rsidR="007C0BC0" w:rsidRPr="00492095">
        <w:rPr>
          <w:rFonts w:ascii="Trebuchet MS" w:eastAsia="Cambria" w:hAnsi="Trebuchet MS"/>
          <w:sz w:val="24"/>
          <w:highlight w:val="white"/>
        </w:rPr>
        <w:t>reconstruction event in</w:t>
      </w:r>
      <w:r w:rsidR="00B54EE0" w:rsidRPr="00492095">
        <w:rPr>
          <w:rFonts w:ascii="Trebuchet MS" w:eastAsia="Cambria" w:hAnsi="Trebuchet MS"/>
          <w:sz w:val="24"/>
          <w:highlight w:val="white"/>
        </w:rPr>
        <w:t xml:space="preserve"> each alternative.</w:t>
      </w:r>
    </w:p>
    <w:p w14:paraId="360C6CC0" w14:textId="77777777" w:rsidR="00B54EE0" w:rsidRPr="00492095" w:rsidRDefault="00B54EE0" w:rsidP="00DA5AE3">
      <w:pPr>
        <w:pStyle w:val="Normal1"/>
        <w:spacing w:after="120"/>
        <w:rPr>
          <w:rFonts w:ascii="Trebuchet MS" w:hAnsi="Trebuchet MS"/>
          <w:sz w:val="24"/>
        </w:rPr>
      </w:pPr>
    </w:p>
    <w:p w14:paraId="15B4BFDE" w14:textId="77777777" w:rsidR="00B54EE0" w:rsidRPr="00492095" w:rsidRDefault="00B54EE0" w:rsidP="00DA5AE3">
      <w:pPr>
        <w:pStyle w:val="Heading1"/>
        <w:spacing w:before="0" w:after="120" w:line="276" w:lineRule="auto"/>
        <w:rPr>
          <w:rFonts w:ascii="Trebuchet MS" w:hAnsi="Trebuchet MS" w:cs="Arial"/>
        </w:rPr>
      </w:pPr>
      <w:bookmarkStart w:id="8" w:name="_Toc266201043"/>
      <w:r w:rsidRPr="00492095">
        <w:rPr>
          <w:rFonts w:ascii="Trebuchet MS" w:hAnsi="Trebuchet MS" w:cs="Arial"/>
          <w:highlight w:val="white"/>
        </w:rPr>
        <w:lastRenderedPageBreak/>
        <w:t>Data and inputs</w:t>
      </w:r>
      <w:bookmarkEnd w:id="8"/>
      <w:r w:rsidRPr="00492095">
        <w:rPr>
          <w:rFonts w:ascii="Trebuchet MS" w:hAnsi="Trebuchet MS" w:cs="Arial"/>
          <w:highlight w:val="white"/>
        </w:rPr>
        <w:t xml:space="preserve"> </w:t>
      </w:r>
    </w:p>
    <w:p w14:paraId="4DD765E3" w14:textId="6CE71ED7" w:rsidR="00B54EE0" w:rsidRPr="00492095" w:rsidRDefault="00A81A5A" w:rsidP="00DA5AE3">
      <w:pPr>
        <w:pStyle w:val="Normal1"/>
        <w:spacing w:after="120"/>
        <w:rPr>
          <w:rFonts w:ascii="Trebuchet MS" w:hAnsi="Trebuchet MS"/>
          <w:sz w:val="24"/>
        </w:rPr>
      </w:pPr>
      <w:r>
        <w:rPr>
          <w:rFonts w:ascii="Trebuchet MS" w:eastAsia="Cambria" w:hAnsi="Trebuchet MS"/>
          <w:sz w:val="24"/>
          <w:highlight w:val="white"/>
        </w:rPr>
        <w:t xml:space="preserve">The </w:t>
      </w:r>
      <w:r w:rsidR="002A2170">
        <w:rPr>
          <w:rFonts w:ascii="Trebuchet MS" w:eastAsia="Cambria" w:hAnsi="Trebuchet MS"/>
          <w:sz w:val="24"/>
          <w:highlight w:val="white"/>
        </w:rPr>
        <w:t>cost components</w:t>
      </w:r>
      <w:r w:rsidR="00B54EE0" w:rsidRPr="00492095">
        <w:rPr>
          <w:rFonts w:ascii="Trebuchet MS" w:eastAsia="Cambria" w:hAnsi="Trebuchet MS"/>
          <w:sz w:val="24"/>
          <w:highlight w:val="white"/>
        </w:rPr>
        <w:t xml:space="preserve"> for </w:t>
      </w:r>
      <w:proofErr w:type="spellStart"/>
      <w:r w:rsidR="00B54EE0" w:rsidRPr="00492095">
        <w:rPr>
          <w:rFonts w:ascii="Trebuchet MS" w:eastAsia="Cambria" w:hAnsi="Trebuchet MS"/>
          <w:sz w:val="24"/>
          <w:highlight w:val="white"/>
        </w:rPr>
        <w:t>bioswales</w:t>
      </w:r>
      <w:proofErr w:type="spellEnd"/>
      <w:r w:rsidR="00B54EE0" w:rsidRPr="00492095">
        <w:rPr>
          <w:rFonts w:ascii="Trebuchet MS" w:eastAsia="Cambria" w:hAnsi="Trebuchet MS"/>
          <w:sz w:val="24"/>
          <w:highlight w:val="white"/>
        </w:rPr>
        <w:t xml:space="preserve"> and permeable pavement </w:t>
      </w:r>
      <w:r>
        <w:rPr>
          <w:rFonts w:ascii="Trebuchet MS" w:eastAsia="Cambria" w:hAnsi="Trebuchet MS"/>
          <w:sz w:val="24"/>
          <w:highlight w:val="white"/>
        </w:rPr>
        <w:t xml:space="preserve">are </w:t>
      </w:r>
      <w:r w:rsidR="00B54EE0" w:rsidRPr="00492095">
        <w:rPr>
          <w:rFonts w:ascii="Trebuchet MS" w:eastAsia="Cambria" w:hAnsi="Trebuchet MS"/>
          <w:sz w:val="24"/>
          <w:highlight w:val="white"/>
        </w:rPr>
        <w:t>a</w:t>
      </w:r>
      <w:r>
        <w:rPr>
          <w:rFonts w:ascii="Trebuchet MS" w:eastAsia="Cambria" w:hAnsi="Trebuchet MS"/>
          <w:sz w:val="24"/>
          <w:highlight w:val="white"/>
        </w:rPr>
        <w:t>nalyzed</w:t>
      </w:r>
      <w:r w:rsidR="00B54EE0" w:rsidRPr="00492095">
        <w:rPr>
          <w:rFonts w:ascii="Trebuchet MS" w:eastAsia="Cambria" w:hAnsi="Trebuchet MS"/>
          <w:sz w:val="24"/>
          <w:highlight w:val="white"/>
        </w:rPr>
        <w:t xml:space="preserve"> at the unit level</w:t>
      </w:r>
      <w:r w:rsidR="002A2170">
        <w:rPr>
          <w:rFonts w:ascii="Trebuchet MS" w:eastAsia="Cambria" w:hAnsi="Trebuchet MS"/>
          <w:sz w:val="24"/>
          <w:highlight w:val="white"/>
        </w:rPr>
        <w:t>:</w:t>
      </w:r>
    </w:p>
    <w:tbl>
      <w:tblPr>
        <w:tblW w:w="9360" w:type="dxa"/>
        <w:tblInd w:w="108" w:type="dxa"/>
        <w:tblLayout w:type="fixed"/>
        <w:tblLook w:val="04A0" w:firstRow="1" w:lastRow="0" w:firstColumn="1" w:lastColumn="0" w:noHBand="0" w:noVBand="1"/>
      </w:tblPr>
      <w:tblGrid>
        <w:gridCol w:w="1692"/>
        <w:gridCol w:w="1908"/>
        <w:gridCol w:w="1890"/>
        <w:gridCol w:w="1890"/>
        <w:gridCol w:w="1980"/>
      </w:tblGrid>
      <w:tr w:rsidR="00B54EE0" w:rsidRPr="00603D0C" w14:paraId="184B2532" w14:textId="77777777" w:rsidTr="00B54EE0">
        <w:trPr>
          <w:trHeight w:val="340"/>
        </w:trPr>
        <w:tc>
          <w:tcPr>
            <w:tcW w:w="169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B6C9286" w14:textId="77777777" w:rsidR="00B54EE0" w:rsidRPr="00492095" w:rsidRDefault="00B54EE0" w:rsidP="00DA5AE3">
            <w:pPr>
              <w:spacing w:after="120" w:line="276" w:lineRule="auto"/>
              <w:rPr>
                <w:rFonts w:ascii="Trebuchet MS" w:eastAsia="Times New Roman" w:hAnsi="Trebuchet MS" w:cs="Arial"/>
                <w:b/>
                <w:color w:val="000000"/>
                <w:sz w:val="16"/>
                <w:szCs w:val="16"/>
              </w:rPr>
            </w:pPr>
            <w:r w:rsidRPr="00492095">
              <w:rPr>
                <w:rFonts w:ascii="Trebuchet MS" w:eastAsia="Times New Roman" w:hAnsi="Trebuchet MS" w:cs="Arial"/>
                <w:b/>
                <w:color w:val="000000"/>
                <w:sz w:val="16"/>
                <w:szCs w:val="16"/>
              </w:rPr>
              <w:t>Inputs and sources</w:t>
            </w:r>
          </w:p>
        </w:tc>
        <w:tc>
          <w:tcPr>
            <w:tcW w:w="1908"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F3E0F72" w14:textId="77777777" w:rsidR="00B54EE0" w:rsidRPr="00492095" w:rsidRDefault="00B54EE0" w:rsidP="00DA5AE3">
            <w:pPr>
              <w:spacing w:after="120" w:line="276" w:lineRule="auto"/>
              <w:rPr>
                <w:rFonts w:ascii="Trebuchet MS" w:eastAsia="Times New Roman" w:hAnsi="Trebuchet MS" w:cs="Arial"/>
                <w:b/>
                <w:color w:val="000000"/>
                <w:sz w:val="16"/>
                <w:szCs w:val="16"/>
              </w:rPr>
            </w:pPr>
            <w:proofErr w:type="spellStart"/>
            <w:r w:rsidRPr="00492095">
              <w:rPr>
                <w:rFonts w:ascii="Trebuchet MS" w:eastAsia="Times New Roman" w:hAnsi="Trebuchet MS" w:cs="Arial"/>
                <w:b/>
                <w:color w:val="000000"/>
                <w:sz w:val="16"/>
                <w:szCs w:val="16"/>
              </w:rPr>
              <w:t>Bioswale</w:t>
            </w:r>
            <w:proofErr w:type="spellEnd"/>
          </w:p>
        </w:tc>
        <w:tc>
          <w:tcPr>
            <w:tcW w:w="189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AE3706A" w14:textId="77777777" w:rsidR="00B54EE0" w:rsidRPr="00492095" w:rsidRDefault="00B54EE0" w:rsidP="00DA5AE3">
            <w:pPr>
              <w:spacing w:after="120" w:line="276" w:lineRule="auto"/>
              <w:rPr>
                <w:rFonts w:ascii="Trebuchet MS" w:eastAsia="Times New Roman" w:hAnsi="Trebuchet MS" w:cs="Arial"/>
                <w:b/>
                <w:color w:val="000000"/>
                <w:sz w:val="16"/>
                <w:szCs w:val="16"/>
              </w:rPr>
            </w:pPr>
            <w:r w:rsidRPr="00492095">
              <w:rPr>
                <w:rFonts w:ascii="Trebuchet MS" w:eastAsia="Times New Roman" w:hAnsi="Trebuchet MS" w:cs="Arial"/>
                <w:b/>
                <w:color w:val="000000"/>
                <w:sz w:val="16"/>
                <w:szCs w:val="16"/>
              </w:rPr>
              <w:t>Source</w:t>
            </w:r>
          </w:p>
        </w:tc>
        <w:tc>
          <w:tcPr>
            <w:tcW w:w="189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25C70D8" w14:textId="77777777" w:rsidR="00B54EE0" w:rsidRPr="00492095" w:rsidRDefault="00B54EE0" w:rsidP="00DA5AE3">
            <w:pPr>
              <w:spacing w:after="120" w:line="276" w:lineRule="auto"/>
              <w:rPr>
                <w:rFonts w:ascii="Trebuchet MS" w:eastAsia="Times New Roman" w:hAnsi="Trebuchet MS" w:cs="Arial"/>
                <w:b/>
                <w:color w:val="000000"/>
                <w:sz w:val="16"/>
                <w:szCs w:val="16"/>
              </w:rPr>
            </w:pPr>
            <w:r w:rsidRPr="00492095">
              <w:rPr>
                <w:rFonts w:ascii="Trebuchet MS" w:eastAsia="Times New Roman" w:hAnsi="Trebuchet MS" w:cs="Arial"/>
                <w:b/>
                <w:color w:val="000000"/>
                <w:sz w:val="16"/>
                <w:szCs w:val="16"/>
              </w:rPr>
              <w:t>Permeable pavement</w:t>
            </w:r>
          </w:p>
        </w:tc>
        <w:tc>
          <w:tcPr>
            <w:tcW w:w="19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F61DC3E" w14:textId="77777777" w:rsidR="00B54EE0" w:rsidRPr="00492095" w:rsidRDefault="00B54EE0" w:rsidP="00DA5AE3">
            <w:pPr>
              <w:spacing w:after="120" w:line="276" w:lineRule="auto"/>
              <w:rPr>
                <w:rFonts w:ascii="Trebuchet MS" w:eastAsia="Times New Roman" w:hAnsi="Trebuchet MS" w:cs="Arial"/>
                <w:b/>
                <w:color w:val="000000"/>
                <w:sz w:val="16"/>
                <w:szCs w:val="16"/>
              </w:rPr>
            </w:pPr>
            <w:r w:rsidRPr="00492095">
              <w:rPr>
                <w:rFonts w:ascii="Trebuchet MS" w:eastAsia="Times New Roman" w:hAnsi="Trebuchet MS" w:cs="Arial"/>
                <w:b/>
                <w:color w:val="000000"/>
                <w:sz w:val="16"/>
                <w:szCs w:val="16"/>
              </w:rPr>
              <w:t>Source</w:t>
            </w:r>
          </w:p>
        </w:tc>
      </w:tr>
      <w:tr w:rsidR="00B54EE0" w:rsidRPr="00603D0C" w14:paraId="15B31F2D" w14:textId="77777777" w:rsidTr="00B54EE0">
        <w:trPr>
          <w:trHeight w:val="340"/>
        </w:trPr>
        <w:tc>
          <w:tcPr>
            <w:tcW w:w="1692" w:type="dxa"/>
            <w:tcBorders>
              <w:top w:val="nil"/>
              <w:left w:val="single" w:sz="4" w:space="0" w:color="auto"/>
              <w:bottom w:val="nil"/>
              <w:right w:val="single" w:sz="4" w:space="0" w:color="auto"/>
            </w:tcBorders>
            <w:shd w:val="clear" w:color="auto" w:fill="auto"/>
            <w:noWrap/>
            <w:vAlign w:val="bottom"/>
            <w:hideMark/>
          </w:tcPr>
          <w:p w14:paraId="15DEAD95"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Initial costs</w:t>
            </w:r>
          </w:p>
        </w:tc>
        <w:tc>
          <w:tcPr>
            <w:tcW w:w="1908" w:type="dxa"/>
            <w:tcBorders>
              <w:top w:val="nil"/>
              <w:left w:val="single" w:sz="4" w:space="0" w:color="auto"/>
              <w:bottom w:val="nil"/>
              <w:right w:val="single" w:sz="4" w:space="0" w:color="auto"/>
            </w:tcBorders>
            <w:shd w:val="clear" w:color="auto" w:fill="auto"/>
            <w:noWrap/>
            <w:vAlign w:val="bottom"/>
            <w:hideMark/>
          </w:tcPr>
          <w:p w14:paraId="1AB5EC5F" w14:textId="77777777" w:rsidR="00B54EE0" w:rsidRPr="00492095" w:rsidRDefault="00590612"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$38,000</w:t>
            </w:r>
            <w:r w:rsidR="00B54EE0" w:rsidRPr="00492095">
              <w:rPr>
                <w:rFonts w:ascii="Trebuchet MS" w:eastAsia="Times New Roman" w:hAnsi="Trebuchet MS" w:cs="Arial"/>
                <w:color w:val="000000"/>
                <w:sz w:val="16"/>
                <w:szCs w:val="16"/>
              </w:rPr>
              <w:t xml:space="preserve"> / 100 </w:t>
            </w:r>
            <w:proofErr w:type="spellStart"/>
            <w:r w:rsidR="00B54EE0" w:rsidRPr="00492095">
              <w:rPr>
                <w:rFonts w:ascii="Trebuchet MS" w:eastAsia="Times New Roman" w:hAnsi="Trebuchet MS" w:cs="Arial"/>
                <w:color w:val="000000"/>
                <w:sz w:val="16"/>
                <w:szCs w:val="16"/>
              </w:rPr>
              <w:t>sq</w:t>
            </w:r>
            <w:proofErr w:type="spellEnd"/>
            <w:r w:rsidR="00B54EE0" w:rsidRPr="00492095">
              <w:rPr>
                <w:rFonts w:ascii="Trebuchet MS" w:eastAsia="Times New Roman" w:hAnsi="Trebuchet MS" w:cs="Arial"/>
                <w:color w:val="000000"/>
                <w:sz w:val="16"/>
                <w:szCs w:val="16"/>
              </w:rPr>
              <w:t xml:space="preserve"> </w:t>
            </w:r>
            <w:proofErr w:type="spellStart"/>
            <w:r w:rsidR="00B54EE0" w:rsidRPr="00492095">
              <w:rPr>
                <w:rFonts w:ascii="Trebuchet MS" w:eastAsia="Times New Roman" w:hAnsi="Trebuchet MS" w:cs="Arial"/>
                <w:color w:val="000000"/>
                <w:sz w:val="16"/>
                <w:szCs w:val="16"/>
              </w:rPr>
              <w:t>ft</w:t>
            </w:r>
            <w:proofErr w:type="spellEnd"/>
          </w:p>
        </w:tc>
        <w:tc>
          <w:tcPr>
            <w:tcW w:w="1890" w:type="dxa"/>
            <w:tcBorders>
              <w:top w:val="nil"/>
              <w:left w:val="single" w:sz="4" w:space="0" w:color="auto"/>
              <w:bottom w:val="nil"/>
              <w:right w:val="single" w:sz="4" w:space="0" w:color="auto"/>
            </w:tcBorders>
            <w:shd w:val="clear" w:color="auto" w:fill="auto"/>
            <w:noWrap/>
            <w:vAlign w:val="bottom"/>
            <w:hideMark/>
          </w:tcPr>
          <w:p w14:paraId="5039B7AD"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 xml:space="preserve">NYC </w:t>
            </w:r>
            <w:proofErr w:type="spellStart"/>
            <w:r w:rsidRPr="00492095">
              <w:rPr>
                <w:rFonts w:ascii="Trebuchet MS" w:eastAsia="Times New Roman" w:hAnsi="Trebuchet MS" w:cs="Arial"/>
                <w:color w:val="000000"/>
                <w:sz w:val="16"/>
                <w:szCs w:val="16"/>
              </w:rPr>
              <w:t>DEP</w:t>
            </w:r>
            <w:proofErr w:type="spellEnd"/>
          </w:p>
        </w:tc>
        <w:tc>
          <w:tcPr>
            <w:tcW w:w="1890" w:type="dxa"/>
            <w:tcBorders>
              <w:top w:val="nil"/>
              <w:left w:val="single" w:sz="4" w:space="0" w:color="auto"/>
              <w:bottom w:val="nil"/>
              <w:right w:val="single" w:sz="4" w:space="0" w:color="auto"/>
            </w:tcBorders>
            <w:shd w:val="clear" w:color="auto" w:fill="auto"/>
            <w:noWrap/>
            <w:vAlign w:val="bottom"/>
            <w:hideMark/>
          </w:tcPr>
          <w:p w14:paraId="51484668" w14:textId="79971829"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w:t>
            </w:r>
            <w:r w:rsidR="00B329C8" w:rsidRPr="00492095">
              <w:rPr>
                <w:rFonts w:ascii="Trebuchet MS" w:eastAsia="Times New Roman" w:hAnsi="Trebuchet MS" w:cs="Arial"/>
                <w:color w:val="000000"/>
                <w:sz w:val="16"/>
                <w:szCs w:val="16"/>
              </w:rPr>
              <w:t>72,500</w:t>
            </w:r>
            <w:r w:rsidRPr="00492095">
              <w:rPr>
                <w:rFonts w:ascii="Trebuchet MS" w:eastAsia="Times New Roman" w:hAnsi="Trebuchet MS" w:cs="Arial"/>
                <w:color w:val="000000"/>
                <w:sz w:val="16"/>
                <w:szCs w:val="16"/>
              </w:rPr>
              <w:t xml:space="preserve"> / 160 </w:t>
            </w:r>
            <w:proofErr w:type="spellStart"/>
            <w:r w:rsidRPr="00492095">
              <w:rPr>
                <w:rFonts w:ascii="Trebuchet MS" w:eastAsia="Times New Roman" w:hAnsi="Trebuchet MS" w:cs="Arial"/>
                <w:color w:val="000000"/>
                <w:sz w:val="16"/>
                <w:szCs w:val="16"/>
              </w:rPr>
              <w:t>sq</w:t>
            </w:r>
            <w:proofErr w:type="spellEnd"/>
            <w:r w:rsidRPr="00492095">
              <w:rPr>
                <w:rFonts w:ascii="Trebuchet MS" w:eastAsia="Times New Roman" w:hAnsi="Trebuchet MS" w:cs="Arial"/>
                <w:color w:val="000000"/>
                <w:sz w:val="16"/>
                <w:szCs w:val="16"/>
              </w:rPr>
              <w:t xml:space="preserve"> </w:t>
            </w:r>
            <w:proofErr w:type="spellStart"/>
            <w:r w:rsidRPr="00492095">
              <w:rPr>
                <w:rFonts w:ascii="Trebuchet MS" w:eastAsia="Times New Roman" w:hAnsi="Trebuchet MS" w:cs="Arial"/>
                <w:color w:val="000000"/>
                <w:sz w:val="16"/>
                <w:szCs w:val="16"/>
              </w:rPr>
              <w:t>ft</w:t>
            </w:r>
            <w:proofErr w:type="spellEnd"/>
          </w:p>
        </w:tc>
        <w:tc>
          <w:tcPr>
            <w:tcW w:w="1980" w:type="dxa"/>
            <w:tcBorders>
              <w:top w:val="nil"/>
              <w:left w:val="single" w:sz="4" w:space="0" w:color="auto"/>
              <w:bottom w:val="nil"/>
              <w:right w:val="single" w:sz="4" w:space="0" w:color="auto"/>
            </w:tcBorders>
            <w:shd w:val="clear" w:color="auto" w:fill="auto"/>
            <w:noWrap/>
            <w:vAlign w:val="bottom"/>
            <w:hideMark/>
          </w:tcPr>
          <w:p w14:paraId="5CC1E676"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NYC DOT</w:t>
            </w:r>
          </w:p>
        </w:tc>
      </w:tr>
      <w:tr w:rsidR="00B54EE0" w:rsidRPr="00603D0C" w14:paraId="28F52174" w14:textId="77777777" w:rsidTr="00B54EE0">
        <w:trPr>
          <w:trHeight w:val="320"/>
        </w:trPr>
        <w:tc>
          <w:tcPr>
            <w:tcW w:w="1692" w:type="dxa"/>
            <w:tcBorders>
              <w:top w:val="nil"/>
              <w:left w:val="single" w:sz="4" w:space="0" w:color="auto"/>
              <w:bottom w:val="nil"/>
              <w:right w:val="single" w:sz="4" w:space="0" w:color="auto"/>
            </w:tcBorders>
            <w:shd w:val="clear" w:color="auto" w:fill="auto"/>
            <w:noWrap/>
            <w:vAlign w:val="bottom"/>
            <w:hideMark/>
          </w:tcPr>
          <w:p w14:paraId="13BFC0D1"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Annual maintenance</w:t>
            </w:r>
          </w:p>
        </w:tc>
        <w:tc>
          <w:tcPr>
            <w:tcW w:w="1908" w:type="dxa"/>
            <w:tcBorders>
              <w:top w:val="nil"/>
              <w:left w:val="single" w:sz="4" w:space="0" w:color="auto"/>
              <w:bottom w:val="nil"/>
              <w:right w:val="single" w:sz="4" w:space="0" w:color="auto"/>
            </w:tcBorders>
            <w:shd w:val="clear" w:color="auto" w:fill="auto"/>
            <w:noWrap/>
            <w:vAlign w:val="bottom"/>
            <w:hideMark/>
          </w:tcPr>
          <w:p w14:paraId="3E54BFA2" w14:textId="3486D90D"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w:t>
            </w:r>
            <w:r w:rsidR="002A2170">
              <w:rPr>
                <w:rFonts w:ascii="Trebuchet MS" w:eastAsia="Times New Roman" w:hAnsi="Trebuchet MS" w:cs="Arial"/>
                <w:color w:val="000000"/>
                <w:sz w:val="16"/>
                <w:szCs w:val="16"/>
              </w:rPr>
              <w:t>2.14</w:t>
            </w:r>
            <w:r w:rsidRPr="00492095">
              <w:rPr>
                <w:rFonts w:ascii="Trebuchet MS" w:eastAsia="Times New Roman" w:hAnsi="Trebuchet MS" w:cs="Arial"/>
                <w:color w:val="000000"/>
                <w:sz w:val="16"/>
                <w:szCs w:val="16"/>
              </w:rPr>
              <w:t xml:space="preserve"> / </w:t>
            </w:r>
            <w:proofErr w:type="spellStart"/>
            <w:r w:rsidRPr="00492095">
              <w:rPr>
                <w:rFonts w:ascii="Trebuchet MS" w:eastAsia="Times New Roman" w:hAnsi="Trebuchet MS" w:cs="Arial"/>
                <w:color w:val="000000"/>
                <w:sz w:val="16"/>
                <w:szCs w:val="16"/>
              </w:rPr>
              <w:t>sq</w:t>
            </w:r>
            <w:proofErr w:type="spellEnd"/>
            <w:r w:rsidRPr="00492095">
              <w:rPr>
                <w:rFonts w:ascii="Trebuchet MS" w:eastAsia="Times New Roman" w:hAnsi="Trebuchet MS" w:cs="Arial"/>
                <w:color w:val="000000"/>
                <w:sz w:val="16"/>
                <w:szCs w:val="16"/>
              </w:rPr>
              <w:t xml:space="preserve"> </w:t>
            </w:r>
            <w:proofErr w:type="spellStart"/>
            <w:r w:rsidRPr="00492095">
              <w:rPr>
                <w:rFonts w:ascii="Trebuchet MS" w:eastAsia="Times New Roman" w:hAnsi="Trebuchet MS" w:cs="Arial"/>
                <w:color w:val="000000"/>
                <w:sz w:val="16"/>
                <w:szCs w:val="16"/>
              </w:rPr>
              <w:t>ft</w:t>
            </w:r>
            <w:proofErr w:type="spellEnd"/>
            <w:r w:rsidRPr="00492095">
              <w:rPr>
                <w:rFonts w:ascii="Trebuchet MS" w:eastAsia="Times New Roman" w:hAnsi="Trebuchet MS" w:cs="Arial"/>
                <w:color w:val="000000"/>
                <w:sz w:val="16"/>
                <w:szCs w:val="16"/>
              </w:rPr>
              <w:t xml:space="preserve"> / year</w:t>
            </w:r>
          </w:p>
        </w:tc>
        <w:tc>
          <w:tcPr>
            <w:tcW w:w="1890" w:type="dxa"/>
            <w:tcBorders>
              <w:top w:val="nil"/>
              <w:left w:val="single" w:sz="4" w:space="0" w:color="auto"/>
              <w:bottom w:val="nil"/>
              <w:right w:val="single" w:sz="4" w:space="0" w:color="auto"/>
            </w:tcBorders>
            <w:shd w:val="clear" w:color="auto" w:fill="auto"/>
            <w:noWrap/>
            <w:vAlign w:val="bottom"/>
            <w:hideMark/>
          </w:tcPr>
          <w:p w14:paraId="54487C0C"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 xml:space="preserve">Portland OR; NYC </w:t>
            </w:r>
            <w:proofErr w:type="spellStart"/>
            <w:r w:rsidRPr="00492095">
              <w:rPr>
                <w:rFonts w:ascii="Trebuchet MS" w:eastAsia="Times New Roman" w:hAnsi="Trebuchet MS" w:cs="Arial"/>
                <w:color w:val="000000"/>
                <w:sz w:val="16"/>
                <w:szCs w:val="16"/>
              </w:rPr>
              <w:t>DPR</w:t>
            </w:r>
            <w:proofErr w:type="spellEnd"/>
          </w:p>
        </w:tc>
        <w:tc>
          <w:tcPr>
            <w:tcW w:w="1890" w:type="dxa"/>
            <w:tcBorders>
              <w:top w:val="nil"/>
              <w:left w:val="single" w:sz="4" w:space="0" w:color="auto"/>
              <w:bottom w:val="nil"/>
              <w:right w:val="single" w:sz="4" w:space="0" w:color="auto"/>
            </w:tcBorders>
            <w:shd w:val="clear" w:color="auto" w:fill="auto"/>
            <w:noWrap/>
            <w:vAlign w:val="bottom"/>
            <w:hideMark/>
          </w:tcPr>
          <w:p w14:paraId="7BCBBC29"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 xml:space="preserve">$0.40 / </w:t>
            </w:r>
            <w:proofErr w:type="spellStart"/>
            <w:r w:rsidRPr="00492095">
              <w:rPr>
                <w:rFonts w:ascii="Trebuchet MS" w:eastAsia="Times New Roman" w:hAnsi="Trebuchet MS" w:cs="Arial"/>
                <w:color w:val="000000"/>
                <w:sz w:val="16"/>
                <w:szCs w:val="16"/>
              </w:rPr>
              <w:t>sq</w:t>
            </w:r>
            <w:proofErr w:type="spellEnd"/>
            <w:r w:rsidRPr="00492095">
              <w:rPr>
                <w:rFonts w:ascii="Trebuchet MS" w:eastAsia="Times New Roman" w:hAnsi="Trebuchet MS" w:cs="Arial"/>
                <w:color w:val="000000"/>
                <w:sz w:val="16"/>
                <w:szCs w:val="16"/>
              </w:rPr>
              <w:t xml:space="preserve"> </w:t>
            </w:r>
            <w:proofErr w:type="spellStart"/>
            <w:r w:rsidRPr="00492095">
              <w:rPr>
                <w:rFonts w:ascii="Trebuchet MS" w:eastAsia="Times New Roman" w:hAnsi="Trebuchet MS" w:cs="Arial"/>
                <w:color w:val="000000"/>
                <w:sz w:val="16"/>
                <w:szCs w:val="16"/>
              </w:rPr>
              <w:t>ft</w:t>
            </w:r>
            <w:proofErr w:type="spellEnd"/>
            <w:r w:rsidRPr="00492095">
              <w:rPr>
                <w:rFonts w:ascii="Trebuchet MS" w:eastAsia="Times New Roman" w:hAnsi="Trebuchet MS" w:cs="Arial"/>
                <w:color w:val="000000"/>
                <w:sz w:val="16"/>
                <w:szCs w:val="16"/>
              </w:rPr>
              <w:t xml:space="preserve"> / year</w:t>
            </w:r>
          </w:p>
        </w:tc>
        <w:tc>
          <w:tcPr>
            <w:tcW w:w="1980" w:type="dxa"/>
            <w:tcBorders>
              <w:top w:val="nil"/>
              <w:left w:val="single" w:sz="4" w:space="0" w:color="auto"/>
              <w:bottom w:val="nil"/>
              <w:right w:val="single" w:sz="4" w:space="0" w:color="auto"/>
            </w:tcBorders>
            <w:shd w:val="clear" w:color="auto" w:fill="auto"/>
            <w:noWrap/>
            <w:vAlign w:val="bottom"/>
            <w:hideMark/>
          </w:tcPr>
          <w:p w14:paraId="51FE6F00"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NYC OMB</w:t>
            </w:r>
          </w:p>
        </w:tc>
      </w:tr>
      <w:tr w:rsidR="00B54EE0" w:rsidRPr="00603D0C" w14:paraId="6B9401E9" w14:textId="77777777" w:rsidTr="00B54EE0">
        <w:trPr>
          <w:trHeight w:val="320"/>
        </w:trPr>
        <w:tc>
          <w:tcPr>
            <w:tcW w:w="1692" w:type="dxa"/>
            <w:tcBorders>
              <w:top w:val="nil"/>
              <w:left w:val="single" w:sz="4" w:space="0" w:color="auto"/>
              <w:bottom w:val="nil"/>
              <w:right w:val="single" w:sz="4" w:space="0" w:color="auto"/>
            </w:tcBorders>
            <w:shd w:val="clear" w:color="auto" w:fill="auto"/>
            <w:noWrap/>
            <w:vAlign w:val="bottom"/>
            <w:hideMark/>
          </w:tcPr>
          <w:p w14:paraId="5F11196F"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Replacement</w:t>
            </w:r>
          </w:p>
        </w:tc>
        <w:tc>
          <w:tcPr>
            <w:tcW w:w="1908" w:type="dxa"/>
            <w:tcBorders>
              <w:top w:val="nil"/>
              <w:left w:val="single" w:sz="4" w:space="0" w:color="auto"/>
              <w:bottom w:val="nil"/>
              <w:right w:val="single" w:sz="4" w:space="0" w:color="auto"/>
            </w:tcBorders>
            <w:shd w:val="clear" w:color="auto" w:fill="auto"/>
            <w:noWrap/>
            <w:vAlign w:val="bottom"/>
            <w:hideMark/>
          </w:tcPr>
          <w:p w14:paraId="2E099D4E" w14:textId="3441A0D0"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 xml:space="preserve">$18,029 after 25 </w:t>
            </w:r>
            <w:proofErr w:type="spellStart"/>
            <w:r w:rsidRPr="00492095">
              <w:rPr>
                <w:rFonts w:ascii="Trebuchet MS" w:eastAsia="Times New Roman" w:hAnsi="Trebuchet MS" w:cs="Arial"/>
                <w:color w:val="000000"/>
                <w:sz w:val="16"/>
                <w:szCs w:val="16"/>
              </w:rPr>
              <w:t>yrs</w:t>
            </w:r>
            <w:proofErr w:type="spellEnd"/>
          </w:p>
        </w:tc>
        <w:tc>
          <w:tcPr>
            <w:tcW w:w="1890" w:type="dxa"/>
            <w:tcBorders>
              <w:top w:val="nil"/>
              <w:left w:val="single" w:sz="4" w:space="0" w:color="auto"/>
              <w:bottom w:val="nil"/>
              <w:right w:val="single" w:sz="4" w:space="0" w:color="auto"/>
            </w:tcBorders>
            <w:shd w:val="clear" w:color="auto" w:fill="auto"/>
            <w:noWrap/>
            <w:vAlign w:val="bottom"/>
            <w:hideMark/>
          </w:tcPr>
          <w:p w14:paraId="41E474FB" w14:textId="65D6AEA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Portland OR; NYC DDC</w:t>
            </w:r>
          </w:p>
        </w:tc>
        <w:tc>
          <w:tcPr>
            <w:tcW w:w="1890" w:type="dxa"/>
            <w:tcBorders>
              <w:top w:val="nil"/>
              <w:left w:val="single" w:sz="4" w:space="0" w:color="auto"/>
              <w:bottom w:val="nil"/>
              <w:right w:val="single" w:sz="4" w:space="0" w:color="auto"/>
            </w:tcBorders>
            <w:shd w:val="clear" w:color="auto" w:fill="auto"/>
            <w:noWrap/>
            <w:vAlign w:val="bottom"/>
            <w:hideMark/>
          </w:tcPr>
          <w:p w14:paraId="74688B23" w14:textId="555175AF" w:rsidR="00B54EE0" w:rsidRPr="00492095" w:rsidRDefault="0016071E"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w:t>
            </w:r>
            <w:r w:rsidR="00590612" w:rsidRPr="00492095">
              <w:rPr>
                <w:rFonts w:ascii="Trebuchet MS" w:eastAsia="Times New Roman" w:hAnsi="Trebuchet MS" w:cs="Arial"/>
                <w:color w:val="000000"/>
                <w:sz w:val="16"/>
                <w:szCs w:val="16"/>
              </w:rPr>
              <w:t xml:space="preserve">23,604 after 20 </w:t>
            </w:r>
            <w:proofErr w:type="spellStart"/>
            <w:r w:rsidR="00590612" w:rsidRPr="00492095">
              <w:rPr>
                <w:rFonts w:ascii="Trebuchet MS" w:eastAsia="Times New Roman" w:hAnsi="Trebuchet MS" w:cs="Arial"/>
                <w:color w:val="000000"/>
                <w:sz w:val="16"/>
                <w:szCs w:val="16"/>
              </w:rPr>
              <w:t>y</w:t>
            </w:r>
            <w:r w:rsidR="00B54EE0" w:rsidRPr="00492095">
              <w:rPr>
                <w:rFonts w:ascii="Trebuchet MS" w:eastAsia="Times New Roman" w:hAnsi="Trebuchet MS" w:cs="Arial"/>
                <w:color w:val="000000"/>
                <w:sz w:val="16"/>
                <w:szCs w:val="16"/>
              </w:rPr>
              <w:t>rs</w:t>
            </w:r>
            <w:proofErr w:type="spellEnd"/>
          </w:p>
        </w:tc>
        <w:tc>
          <w:tcPr>
            <w:tcW w:w="1980" w:type="dxa"/>
            <w:tcBorders>
              <w:top w:val="nil"/>
              <w:left w:val="single" w:sz="4" w:space="0" w:color="auto"/>
              <w:bottom w:val="nil"/>
              <w:right w:val="single" w:sz="4" w:space="0" w:color="auto"/>
            </w:tcBorders>
            <w:shd w:val="clear" w:color="auto" w:fill="auto"/>
            <w:noWrap/>
            <w:vAlign w:val="bottom"/>
            <w:hideMark/>
          </w:tcPr>
          <w:p w14:paraId="69AEA244"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Portland OR; Bangor ME</w:t>
            </w:r>
          </w:p>
        </w:tc>
      </w:tr>
      <w:tr w:rsidR="00B54EE0" w:rsidRPr="00603D0C" w14:paraId="5C34351B" w14:textId="77777777" w:rsidTr="00B54EE0">
        <w:trPr>
          <w:trHeight w:val="32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281A4779"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Efficiency</w:t>
            </w:r>
          </w:p>
        </w:tc>
        <w:tc>
          <w:tcPr>
            <w:tcW w:w="1908" w:type="dxa"/>
            <w:tcBorders>
              <w:top w:val="nil"/>
              <w:left w:val="single" w:sz="4" w:space="0" w:color="auto"/>
              <w:bottom w:val="single" w:sz="4" w:space="0" w:color="auto"/>
              <w:right w:val="single" w:sz="4" w:space="0" w:color="auto"/>
            </w:tcBorders>
            <w:shd w:val="clear" w:color="auto" w:fill="auto"/>
            <w:noWrap/>
            <w:vAlign w:val="bottom"/>
            <w:hideMark/>
          </w:tcPr>
          <w:p w14:paraId="1334C24E"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40 percent</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6A0ED98A"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 xml:space="preserve">NYC </w:t>
            </w:r>
            <w:proofErr w:type="spellStart"/>
            <w:r w:rsidRPr="00492095">
              <w:rPr>
                <w:rFonts w:ascii="Trebuchet MS" w:eastAsia="Times New Roman" w:hAnsi="Trebuchet MS" w:cs="Arial"/>
                <w:color w:val="000000"/>
                <w:sz w:val="16"/>
                <w:szCs w:val="16"/>
              </w:rPr>
              <w:t>DEP</w:t>
            </w:r>
            <w:proofErr w:type="spellEnd"/>
            <w:r w:rsidRPr="00492095">
              <w:rPr>
                <w:rFonts w:ascii="Trebuchet MS" w:eastAsia="Times New Roman" w:hAnsi="Trebuchet MS" w:cs="Arial"/>
                <w:color w:val="000000"/>
                <w:sz w:val="16"/>
                <w:szCs w:val="16"/>
              </w:rPr>
              <w:t>; Drexel Univ.</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56BC6D9B" w14:textId="54C32447" w:rsidR="00B54EE0" w:rsidRPr="00492095" w:rsidRDefault="00A81A5A" w:rsidP="00DA5AE3">
            <w:pPr>
              <w:spacing w:after="120" w:line="276" w:lineRule="auto"/>
              <w:rPr>
                <w:rFonts w:ascii="Trebuchet MS" w:eastAsia="Times New Roman" w:hAnsi="Trebuchet MS" w:cs="Arial"/>
                <w:color w:val="000000"/>
                <w:sz w:val="16"/>
                <w:szCs w:val="16"/>
              </w:rPr>
            </w:pPr>
            <w:r>
              <w:rPr>
                <w:rFonts w:ascii="Trebuchet MS" w:eastAsia="Times New Roman" w:hAnsi="Trebuchet MS" w:cs="Arial"/>
                <w:color w:val="000000"/>
                <w:sz w:val="16"/>
                <w:szCs w:val="16"/>
              </w:rPr>
              <w:t>75</w:t>
            </w:r>
            <w:r w:rsidR="00B54EE0" w:rsidRPr="00492095">
              <w:rPr>
                <w:rFonts w:ascii="Trebuchet MS" w:eastAsia="Times New Roman" w:hAnsi="Trebuchet MS" w:cs="Arial"/>
                <w:color w:val="000000"/>
                <w:sz w:val="16"/>
                <w:szCs w:val="16"/>
              </w:rPr>
              <w:t xml:space="preserve"> percent</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C5B16C" w14:textId="77777777" w:rsidR="00B54EE0" w:rsidRPr="00492095" w:rsidRDefault="00B54EE0" w:rsidP="00DA5AE3">
            <w:pPr>
              <w:spacing w:after="120" w:line="276" w:lineRule="auto"/>
              <w:rPr>
                <w:rFonts w:ascii="Trebuchet MS" w:eastAsia="Times New Roman" w:hAnsi="Trebuchet MS" w:cs="Arial"/>
                <w:color w:val="000000"/>
                <w:sz w:val="16"/>
                <w:szCs w:val="16"/>
              </w:rPr>
            </w:pPr>
            <w:r w:rsidRPr="00492095">
              <w:rPr>
                <w:rFonts w:ascii="Trebuchet MS" w:eastAsia="Times New Roman" w:hAnsi="Trebuchet MS" w:cs="Arial"/>
                <w:color w:val="000000"/>
                <w:sz w:val="16"/>
                <w:szCs w:val="16"/>
              </w:rPr>
              <w:t>NYC DOT</w:t>
            </w:r>
          </w:p>
        </w:tc>
      </w:tr>
    </w:tbl>
    <w:p w14:paraId="59E6217A" w14:textId="77777777" w:rsidR="00B54EE0" w:rsidRPr="00492095" w:rsidRDefault="00B54EE0" w:rsidP="00DA5AE3">
      <w:pPr>
        <w:pStyle w:val="Normal1"/>
        <w:spacing w:after="120"/>
        <w:rPr>
          <w:rFonts w:ascii="Trebuchet MS" w:hAnsi="Trebuchet MS"/>
          <w:sz w:val="24"/>
        </w:rPr>
      </w:pPr>
    </w:p>
    <w:p w14:paraId="6C9F28E6" w14:textId="77777777" w:rsidR="00B54EE0" w:rsidRPr="00492095" w:rsidRDefault="00B54EE0" w:rsidP="00DA5AE3">
      <w:pPr>
        <w:pStyle w:val="Heading2"/>
        <w:spacing w:before="0" w:after="120" w:line="276" w:lineRule="auto"/>
        <w:rPr>
          <w:rFonts w:ascii="Trebuchet MS" w:hAnsi="Trebuchet MS" w:cs="Arial"/>
        </w:rPr>
      </w:pPr>
      <w:bookmarkStart w:id="9" w:name="_Toc266201044"/>
      <w:proofErr w:type="spellStart"/>
      <w:r w:rsidRPr="00492095">
        <w:rPr>
          <w:rFonts w:ascii="Trebuchet MS" w:hAnsi="Trebuchet MS" w:cs="Arial"/>
          <w:highlight w:val="white"/>
        </w:rPr>
        <w:t>Bioswale</w:t>
      </w:r>
      <w:bookmarkEnd w:id="9"/>
      <w:proofErr w:type="spellEnd"/>
    </w:p>
    <w:p w14:paraId="30F0E8C1" w14:textId="77777777" w:rsidR="00B54EE0" w:rsidRPr="00492095" w:rsidRDefault="00B54EE0" w:rsidP="00DA5AE3">
      <w:pPr>
        <w:pStyle w:val="Normal1"/>
        <w:spacing w:after="120"/>
        <w:rPr>
          <w:rFonts w:ascii="Trebuchet MS" w:hAnsi="Trebuchet MS"/>
          <w:sz w:val="24"/>
        </w:rPr>
      </w:pPr>
      <w:r w:rsidRPr="00492095">
        <w:rPr>
          <w:rFonts w:ascii="Trebuchet MS" w:eastAsia="Cambria" w:hAnsi="Trebuchet MS"/>
          <w:b/>
          <w:sz w:val="24"/>
          <w:highlight w:val="white"/>
        </w:rPr>
        <w:tab/>
      </w:r>
      <w:proofErr w:type="gramStart"/>
      <w:r w:rsidRPr="00492095">
        <w:rPr>
          <w:rFonts w:ascii="Trebuchet MS" w:eastAsia="Cambria" w:hAnsi="Trebuchet MS"/>
          <w:b/>
          <w:sz w:val="24"/>
          <w:highlight w:val="white"/>
        </w:rPr>
        <w:t>a</w:t>
      </w:r>
      <w:proofErr w:type="gramEnd"/>
      <w:r w:rsidRPr="00492095">
        <w:rPr>
          <w:rFonts w:ascii="Trebuchet MS" w:eastAsia="Cambria" w:hAnsi="Trebuchet MS"/>
          <w:b/>
          <w:sz w:val="24"/>
          <w:highlight w:val="white"/>
        </w:rPr>
        <w:t>. initial cost</w:t>
      </w:r>
    </w:p>
    <w:p w14:paraId="251E0EDA" w14:textId="5D539407" w:rsidR="00B54EE0" w:rsidRPr="00492095" w:rsidRDefault="00866D16" w:rsidP="00DA5AE3">
      <w:pPr>
        <w:pStyle w:val="Normal1"/>
        <w:spacing w:after="120"/>
        <w:ind w:left="720"/>
        <w:rPr>
          <w:rFonts w:ascii="Trebuchet MS" w:hAnsi="Trebuchet MS"/>
          <w:sz w:val="24"/>
        </w:rPr>
      </w:pPr>
      <w:r w:rsidRPr="00492095">
        <w:rPr>
          <w:rFonts w:ascii="Trebuchet MS" w:eastAsia="Cambria" w:hAnsi="Trebuchet MS"/>
          <w:sz w:val="24"/>
          <w:highlight w:val="white"/>
        </w:rPr>
        <w:t>Environmental Protection</w:t>
      </w:r>
      <w:r w:rsidR="00B2084D" w:rsidRPr="00492095">
        <w:rPr>
          <w:rFonts w:ascii="Trebuchet MS" w:eastAsia="Cambria" w:hAnsi="Trebuchet MS"/>
          <w:sz w:val="24"/>
          <w:highlight w:val="white"/>
        </w:rPr>
        <w:t xml:space="preserve">’s green infrastructure team suggested in November that </w:t>
      </w:r>
      <w:r w:rsidR="00B54EE0" w:rsidRPr="00492095">
        <w:rPr>
          <w:rFonts w:ascii="Trebuchet MS" w:eastAsia="Cambria" w:hAnsi="Trebuchet MS"/>
          <w:sz w:val="24"/>
          <w:highlight w:val="white"/>
        </w:rPr>
        <w:t>published in</w:t>
      </w:r>
      <w:r w:rsidR="00590612" w:rsidRPr="00492095">
        <w:rPr>
          <w:rFonts w:ascii="Trebuchet MS" w:eastAsia="Cambria" w:hAnsi="Trebuchet MS"/>
          <w:sz w:val="24"/>
          <w:highlight w:val="white"/>
        </w:rPr>
        <w:t xml:space="preserve">itial cost </w:t>
      </w:r>
      <w:r w:rsidR="00B2084D" w:rsidRPr="00492095">
        <w:rPr>
          <w:rFonts w:ascii="Trebuchet MS" w:eastAsia="Cambria" w:hAnsi="Trebuchet MS"/>
          <w:sz w:val="24"/>
          <w:highlight w:val="white"/>
        </w:rPr>
        <w:t xml:space="preserve">data </w:t>
      </w:r>
      <w:r w:rsidR="00590612" w:rsidRPr="00492095">
        <w:rPr>
          <w:rFonts w:ascii="Trebuchet MS" w:eastAsia="Cambria" w:hAnsi="Trebuchet MS"/>
          <w:sz w:val="24"/>
          <w:highlight w:val="white"/>
        </w:rPr>
        <w:t xml:space="preserve">for a </w:t>
      </w:r>
      <w:proofErr w:type="spellStart"/>
      <w:r w:rsidR="00590612" w:rsidRPr="00492095">
        <w:rPr>
          <w:rFonts w:ascii="Trebuchet MS" w:eastAsia="Cambria" w:hAnsi="Trebuchet MS"/>
          <w:sz w:val="24"/>
          <w:highlight w:val="white"/>
        </w:rPr>
        <w:t>bioswale</w:t>
      </w:r>
      <w:proofErr w:type="spellEnd"/>
      <w:r w:rsidR="00590612" w:rsidRPr="00492095">
        <w:rPr>
          <w:rFonts w:ascii="Trebuchet MS" w:eastAsia="Cambria" w:hAnsi="Trebuchet MS"/>
          <w:sz w:val="24"/>
          <w:highlight w:val="white"/>
        </w:rPr>
        <w:t xml:space="preserve"> of $38,0</w:t>
      </w:r>
      <w:r w:rsidR="00B54EE0" w:rsidRPr="00492095">
        <w:rPr>
          <w:rFonts w:ascii="Trebuchet MS" w:eastAsia="Cambria" w:hAnsi="Trebuchet MS"/>
          <w:sz w:val="24"/>
          <w:highlight w:val="white"/>
        </w:rPr>
        <w:t>00 was generally applicable to any installation.</w:t>
      </w:r>
      <w:r w:rsidR="00B54EE0" w:rsidRPr="00492095">
        <w:rPr>
          <w:rFonts w:ascii="Trebuchet MS" w:eastAsia="Cambria" w:hAnsi="Trebuchet MS"/>
          <w:sz w:val="24"/>
          <w:highlight w:val="white"/>
          <w:vertAlign w:val="superscript"/>
        </w:rPr>
        <w:footnoteReference w:id="9"/>
      </w:r>
      <w:r w:rsidR="00590612" w:rsidRPr="00492095">
        <w:rPr>
          <w:rFonts w:ascii="Trebuchet MS" w:eastAsia="Cambria" w:hAnsi="Trebuchet MS"/>
          <w:sz w:val="24"/>
        </w:rPr>
        <w:t xml:space="preserve"> The City sizes its infrastructure based on the needs and geographic constraints of a given location. The analysis described here envisioned a 10,000 tributary, which may allow for a </w:t>
      </w:r>
      <w:proofErr w:type="spellStart"/>
      <w:r w:rsidR="00590612" w:rsidRPr="00492095">
        <w:rPr>
          <w:rFonts w:ascii="Trebuchet MS" w:eastAsia="Cambria" w:hAnsi="Trebuchet MS"/>
          <w:sz w:val="24"/>
        </w:rPr>
        <w:t>bioswale</w:t>
      </w:r>
      <w:proofErr w:type="spellEnd"/>
      <w:r w:rsidR="00590612" w:rsidRPr="00492095">
        <w:rPr>
          <w:rFonts w:ascii="Trebuchet MS" w:eastAsia="Cambria" w:hAnsi="Trebuchet MS"/>
          <w:sz w:val="24"/>
        </w:rPr>
        <w:t xml:space="preserve"> system of less than 100 square feet; nonetheless, a </w:t>
      </w:r>
      <w:proofErr w:type="spellStart"/>
      <w:r w:rsidR="00590612" w:rsidRPr="00492095">
        <w:rPr>
          <w:rFonts w:ascii="Trebuchet MS" w:eastAsia="Cambria" w:hAnsi="Trebuchet MS"/>
          <w:sz w:val="24"/>
        </w:rPr>
        <w:t>bioswale</w:t>
      </w:r>
      <w:proofErr w:type="spellEnd"/>
      <w:r w:rsidR="00590612" w:rsidRPr="00492095">
        <w:rPr>
          <w:rFonts w:ascii="Trebuchet MS" w:eastAsia="Cambria" w:hAnsi="Trebuchet MS"/>
          <w:sz w:val="24"/>
        </w:rPr>
        <w:t xml:space="preserve"> of 100 feet is adopted for </w:t>
      </w:r>
      <w:r w:rsidR="002A2170">
        <w:rPr>
          <w:rFonts w:ascii="Trebuchet MS" w:eastAsia="Cambria" w:hAnsi="Trebuchet MS"/>
          <w:sz w:val="24"/>
        </w:rPr>
        <w:t xml:space="preserve">the </w:t>
      </w:r>
      <w:r w:rsidR="00590612" w:rsidRPr="00492095">
        <w:rPr>
          <w:rFonts w:ascii="Trebuchet MS" w:eastAsia="Cambria" w:hAnsi="Trebuchet MS"/>
          <w:sz w:val="24"/>
        </w:rPr>
        <w:t xml:space="preserve">purposes of </w:t>
      </w:r>
      <w:r w:rsidR="002A2170">
        <w:rPr>
          <w:rFonts w:ascii="Trebuchet MS" w:eastAsia="Cambria" w:hAnsi="Trebuchet MS"/>
          <w:sz w:val="24"/>
        </w:rPr>
        <w:t xml:space="preserve">estimating </w:t>
      </w:r>
      <w:r w:rsidR="00590612" w:rsidRPr="00492095">
        <w:rPr>
          <w:rFonts w:ascii="Trebuchet MS" w:eastAsia="Cambria" w:hAnsi="Trebuchet MS"/>
          <w:sz w:val="24"/>
        </w:rPr>
        <w:t>cos</w:t>
      </w:r>
      <w:r w:rsidR="002A2170">
        <w:rPr>
          <w:rFonts w:ascii="Trebuchet MS" w:eastAsia="Cambria" w:hAnsi="Trebuchet MS"/>
          <w:sz w:val="24"/>
        </w:rPr>
        <w:t>ts</w:t>
      </w:r>
      <w:r w:rsidR="00590612" w:rsidRPr="00492095">
        <w:rPr>
          <w:rFonts w:ascii="Trebuchet MS" w:eastAsia="Cambria" w:hAnsi="Trebuchet MS"/>
          <w:sz w:val="24"/>
        </w:rPr>
        <w:t xml:space="preserve">. </w:t>
      </w:r>
    </w:p>
    <w:p w14:paraId="0D2C99C4" w14:textId="65C04F70" w:rsidR="00B54EE0" w:rsidRPr="00492095" w:rsidRDefault="00B54EE0" w:rsidP="00DA5AE3">
      <w:pPr>
        <w:pStyle w:val="Normal1"/>
        <w:spacing w:after="120"/>
        <w:rPr>
          <w:rFonts w:ascii="Trebuchet MS" w:hAnsi="Trebuchet MS"/>
          <w:sz w:val="24"/>
        </w:rPr>
      </w:pPr>
      <w:r w:rsidRPr="00492095">
        <w:rPr>
          <w:rFonts w:ascii="Trebuchet MS" w:eastAsia="Cambria" w:hAnsi="Trebuchet MS"/>
          <w:b/>
          <w:sz w:val="24"/>
          <w:highlight w:val="white"/>
        </w:rPr>
        <w:tab/>
      </w:r>
      <w:proofErr w:type="gramStart"/>
      <w:r w:rsidRPr="00492095">
        <w:rPr>
          <w:rFonts w:ascii="Trebuchet MS" w:eastAsia="Cambria" w:hAnsi="Trebuchet MS"/>
          <w:b/>
          <w:sz w:val="24"/>
          <w:highlight w:val="white"/>
        </w:rPr>
        <w:t>b</w:t>
      </w:r>
      <w:proofErr w:type="gramEnd"/>
      <w:r w:rsidRPr="00492095">
        <w:rPr>
          <w:rFonts w:ascii="Trebuchet MS" w:eastAsia="Cambria" w:hAnsi="Trebuchet MS"/>
          <w:b/>
          <w:sz w:val="24"/>
          <w:highlight w:val="white"/>
        </w:rPr>
        <w:t>. annual maintenance</w:t>
      </w:r>
    </w:p>
    <w:p w14:paraId="03139C25" w14:textId="2514F30E" w:rsidR="00B54EE0" w:rsidRPr="00492095" w:rsidRDefault="00590612" w:rsidP="00DA5AE3">
      <w:pPr>
        <w:pStyle w:val="Normal1"/>
        <w:spacing w:after="120"/>
        <w:ind w:left="720"/>
        <w:rPr>
          <w:rFonts w:ascii="Trebuchet MS" w:hAnsi="Trebuchet MS"/>
          <w:sz w:val="24"/>
        </w:rPr>
      </w:pPr>
      <w:r w:rsidRPr="00492095">
        <w:rPr>
          <w:rFonts w:ascii="Trebuchet MS" w:eastAsia="Cambria" w:hAnsi="Trebuchet MS"/>
          <w:sz w:val="24"/>
          <w:highlight w:val="white"/>
        </w:rPr>
        <w:t>Environmen</w:t>
      </w:r>
      <w:r w:rsidR="00866D16" w:rsidRPr="00492095">
        <w:rPr>
          <w:rFonts w:ascii="Trebuchet MS" w:eastAsia="Cambria" w:hAnsi="Trebuchet MS"/>
          <w:sz w:val="24"/>
          <w:highlight w:val="white"/>
        </w:rPr>
        <w:t>tal Protection</w:t>
      </w:r>
      <w:r w:rsidR="00B2084D" w:rsidRPr="00492095">
        <w:rPr>
          <w:rFonts w:ascii="Trebuchet MS" w:eastAsia="Cambria" w:hAnsi="Trebuchet MS"/>
          <w:sz w:val="24"/>
          <w:highlight w:val="white"/>
        </w:rPr>
        <w:t>’s green infrastructure team could offer no</w:t>
      </w:r>
      <w:r w:rsidRPr="00492095">
        <w:rPr>
          <w:rFonts w:ascii="Trebuchet MS" w:eastAsia="Cambria" w:hAnsi="Trebuchet MS"/>
          <w:sz w:val="24"/>
          <w:highlight w:val="white"/>
        </w:rPr>
        <w:t xml:space="preserve"> guess</w:t>
      </w:r>
      <w:r w:rsidR="002A2170">
        <w:rPr>
          <w:rFonts w:ascii="Trebuchet MS" w:eastAsia="Cambria" w:hAnsi="Trebuchet MS"/>
          <w:sz w:val="24"/>
          <w:highlight w:val="white"/>
        </w:rPr>
        <w:t xml:space="preserve"> </w:t>
      </w:r>
      <w:r w:rsidRPr="00492095">
        <w:rPr>
          <w:rFonts w:ascii="Trebuchet MS" w:eastAsia="Cambria" w:hAnsi="Trebuchet MS"/>
          <w:sz w:val="24"/>
          <w:highlight w:val="white"/>
        </w:rPr>
        <w:t>as to the</w:t>
      </w:r>
      <w:r w:rsidR="00B54EE0" w:rsidRPr="00492095">
        <w:rPr>
          <w:rFonts w:ascii="Trebuchet MS" w:eastAsia="Cambria" w:hAnsi="Trebuchet MS"/>
          <w:sz w:val="24"/>
          <w:highlight w:val="white"/>
        </w:rPr>
        <w:t xml:space="preserve"> cost</w:t>
      </w:r>
      <w:r w:rsidR="002A2170">
        <w:rPr>
          <w:rFonts w:ascii="Trebuchet MS" w:eastAsia="Cambria" w:hAnsi="Trebuchet MS"/>
          <w:sz w:val="24"/>
          <w:highlight w:val="white"/>
        </w:rPr>
        <w:t xml:space="preserve"> of</w:t>
      </w:r>
      <w:r w:rsidR="00B54EE0" w:rsidRPr="00492095">
        <w:rPr>
          <w:rFonts w:ascii="Trebuchet MS" w:eastAsia="Cambria" w:hAnsi="Trebuchet MS"/>
          <w:sz w:val="24"/>
          <w:highlight w:val="white"/>
        </w:rPr>
        <w:t xml:space="preserve"> maintain</w:t>
      </w:r>
      <w:r w:rsidR="002A2170">
        <w:rPr>
          <w:rFonts w:ascii="Trebuchet MS" w:eastAsia="Cambria" w:hAnsi="Trebuchet MS"/>
          <w:sz w:val="24"/>
          <w:highlight w:val="white"/>
        </w:rPr>
        <w:t>ing</w:t>
      </w:r>
      <w:r w:rsidR="00B54EE0" w:rsidRPr="00492095">
        <w:rPr>
          <w:rFonts w:ascii="Trebuchet MS" w:eastAsia="Cambria" w:hAnsi="Trebuchet MS"/>
          <w:sz w:val="24"/>
          <w:highlight w:val="white"/>
        </w:rPr>
        <w:t xml:space="preserve"> a </w:t>
      </w:r>
      <w:proofErr w:type="spellStart"/>
      <w:r w:rsidR="00B54EE0" w:rsidRPr="00492095">
        <w:rPr>
          <w:rFonts w:ascii="Trebuchet MS" w:eastAsia="Cambria" w:hAnsi="Trebuchet MS"/>
          <w:sz w:val="24"/>
          <w:highlight w:val="white"/>
        </w:rPr>
        <w:t>bioswale</w:t>
      </w:r>
      <w:proofErr w:type="spellEnd"/>
      <w:r w:rsidR="00B54EE0" w:rsidRPr="00492095">
        <w:rPr>
          <w:rFonts w:ascii="Trebuchet MS" w:eastAsia="Cambria" w:hAnsi="Trebuchet MS"/>
          <w:sz w:val="24"/>
          <w:highlight w:val="white"/>
        </w:rPr>
        <w:t>.</w:t>
      </w:r>
      <w:r w:rsidR="00B54EE0" w:rsidRPr="00492095">
        <w:rPr>
          <w:rFonts w:ascii="Trebuchet MS" w:eastAsia="Cambria" w:hAnsi="Trebuchet MS"/>
          <w:sz w:val="24"/>
          <w:highlight w:val="white"/>
          <w:vertAlign w:val="superscript"/>
        </w:rPr>
        <w:footnoteReference w:id="10"/>
      </w:r>
      <w:r w:rsidR="00B54EE0" w:rsidRPr="00492095">
        <w:rPr>
          <w:rFonts w:ascii="Trebuchet MS" w:eastAsia="Cambria" w:hAnsi="Trebuchet MS"/>
          <w:sz w:val="24"/>
          <w:highlight w:val="white"/>
        </w:rPr>
        <w:t xml:space="preserve"> </w:t>
      </w:r>
      <w:r w:rsidR="002A2170">
        <w:rPr>
          <w:rFonts w:ascii="Trebuchet MS" w:eastAsia="Cambria" w:hAnsi="Trebuchet MS"/>
          <w:sz w:val="24"/>
          <w:highlight w:val="white"/>
        </w:rPr>
        <w:t>At the department’s suggestion, I looked instead to the</w:t>
      </w:r>
      <w:r w:rsidR="00B54EE0" w:rsidRPr="00492095">
        <w:rPr>
          <w:rFonts w:ascii="Trebuchet MS" w:eastAsia="Cambria" w:hAnsi="Trebuchet MS"/>
          <w:sz w:val="24"/>
          <w:highlight w:val="white"/>
        </w:rPr>
        <w:t xml:space="preserve"> </w:t>
      </w:r>
      <w:r w:rsidR="002A2170">
        <w:rPr>
          <w:rFonts w:ascii="Trebuchet MS" w:eastAsia="Cambria" w:hAnsi="Trebuchet MS"/>
          <w:sz w:val="24"/>
          <w:highlight w:val="white"/>
        </w:rPr>
        <w:t>C</w:t>
      </w:r>
      <w:r w:rsidR="00B54EE0" w:rsidRPr="00492095">
        <w:rPr>
          <w:rFonts w:ascii="Trebuchet MS" w:eastAsia="Cambria" w:hAnsi="Trebuchet MS"/>
          <w:sz w:val="24"/>
          <w:highlight w:val="white"/>
        </w:rPr>
        <w:t xml:space="preserve">ity of Portland, which has already built hundreds of </w:t>
      </w:r>
      <w:proofErr w:type="spellStart"/>
      <w:r w:rsidR="00B54EE0" w:rsidRPr="00492095">
        <w:rPr>
          <w:rFonts w:ascii="Trebuchet MS" w:eastAsia="Cambria" w:hAnsi="Trebuchet MS"/>
          <w:sz w:val="24"/>
          <w:highlight w:val="white"/>
        </w:rPr>
        <w:t>bioswales</w:t>
      </w:r>
      <w:proofErr w:type="spellEnd"/>
      <w:r w:rsidR="002A2170">
        <w:rPr>
          <w:rFonts w:ascii="Trebuchet MS" w:eastAsia="Cambria" w:hAnsi="Trebuchet MS"/>
          <w:sz w:val="24"/>
          <w:highlight w:val="white"/>
        </w:rPr>
        <w:t xml:space="preserve"> and </w:t>
      </w:r>
      <w:r w:rsidR="00B54EE0" w:rsidRPr="00492095">
        <w:rPr>
          <w:rFonts w:ascii="Trebuchet MS" w:eastAsia="Cambria" w:hAnsi="Trebuchet MS"/>
          <w:sz w:val="24"/>
          <w:highlight w:val="white"/>
        </w:rPr>
        <w:t xml:space="preserve">was happy to share its </w:t>
      </w:r>
      <w:r w:rsidR="002A2170">
        <w:rPr>
          <w:rFonts w:ascii="Trebuchet MS" w:eastAsia="Cambria" w:hAnsi="Trebuchet MS"/>
          <w:sz w:val="24"/>
          <w:highlight w:val="white"/>
        </w:rPr>
        <w:t>maintenance costs:</w:t>
      </w:r>
      <w:r w:rsidR="00B54EE0" w:rsidRPr="00492095">
        <w:rPr>
          <w:rFonts w:ascii="Trebuchet MS" w:eastAsia="Cambria" w:hAnsi="Trebuchet MS"/>
          <w:sz w:val="24"/>
          <w:highlight w:val="white"/>
        </w:rPr>
        <w:t xml:space="preserve"> </w:t>
      </w:r>
      <w:proofErr w:type="spellStart"/>
      <w:r w:rsidR="00B54EE0" w:rsidRPr="00492095">
        <w:rPr>
          <w:rFonts w:ascii="Trebuchet MS" w:eastAsia="Cambria" w:hAnsi="Trebuchet MS"/>
          <w:sz w:val="24"/>
          <w:highlight w:val="white"/>
        </w:rPr>
        <w:t>bioswales</w:t>
      </w:r>
      <w:proofErr w:type="spellEnd"/>
      <w:r w:rsidR="00B54EE0" w:rsidRPr="00492095">
        <w:rPr>
          <w:rFonts w:ascii="Trebuchet MS" w:eastAsia="Cambria" w:hAnsi="Trebuchet MS"/>
          <w:sz w:val="24"/>
          <w:highlight w:val="white"/>
        </w:rPr>
        <w:t xml:space="preserve"> cos</w:t>
      </w:r>
      <w:r w:rsidR="008F4B54">
        <w:rPr>
          <w:rFonts w:ascii="Trebuchet MS" w:eastAsia="Cambria" w:hAnsi="Trebuchet MS"/>
          <w:sz w:val="24"/>
          <w:highlight w:val="white"/>
        </w:rPr>
        <w:t>t</w:t>
      </w:r>
      <w:r w:rsidR="00B54EE0" w:rsidRPr="00492095">
        <w:rPr>
          <w:rFonts w:ascii="Trebuchet MS" w:eastAsia="Cambria" w:hAnsi="Trebuchet MS"/>
          <w:sz w:val="24"/>
          <w:highlight w:val="white"/>
        </w:rPr>
        <w:t xml:space="preserve"> $1.55 per square foot per year to maintain.</w:t>
      </w:r>
      <w:r w:rsidR="00B54EE0" w:rsidRPr="00492095">
        <w:rPr>
          <w:rFonts w:ascii="Trebuchet MS" w:eastAsia="Cambria" w:hAnsi="Trebuchet MS"/>
          <w:sz w:val="24"/>
          <w:highlight w:val="white"/>
          <w:vertAlign w:val="superscript"/>
        </w:rPr>
        <w:footnoteReference w:id="11"/>
      </w:r>
      <w:r w:rsidR="00B54EE0" w:rsidRPr="00492095">
        <w:rPr>
          <w:rFonts w:ascii="Trebuchet MS" w:eastAsia="Cambria" w:hAnsi="Trebuchet MS"/>
          <w:sz w:val="24"/>
          <w:highlight w:val="white"/>
        </w:rPr>
        <w:t xml:space="preserve"> Roughly two-thirds of that estimate is labor, and this project adopts a New York-specific estimate of $</w:t>
      </w:r>
      <w:r w:rsidR="002A2170">
        <w:rPr>
          <w:rFonts w:ascii="Trebuchet MS" w:eastAsia="Cambria" w:hAnsi="Trebuchet MS"/>
          <w:sz w:val="24"/>
          <w:highlight w:val="white"/>
        </w:rPr>
        <w:t>2.14</w:t>
      </w:r>
      <w:r w:rsidR="00B54EE0" w:rsidRPr="00492095">
        <w:rPr>
          <w:rFonts w:ascii="Trebuchet MS" w:eastAsia="Cambria" w:hAnsi="Trebuchet MS"/>
          <w:sz w:val="24"/>
          <w:highlight w:val="white"/>
        </w:rPr>
        <w:t xml:space="preserve"> per year, which adjust</w:t>
      </w:r>
      <w:r w:rsidR="002A2170">
        <w:rPr>
          <w:rFonts w:ascii="Trebuchet MS" w:eastAsia="Cambria" w:hAnsi="Trebuchet MS"/>
          <w:sz w:val="24"/>
          <w:highlight w:val="white"/>
        </w:rPr>
        <w:t>s</w:t>
      </w:r>
      <w:r w:rsidR="00B54EE0" w:rsidRPr="00492095">
        <w:rPr>
          <w:rFonts w:ascii="Trebuchet MS" w:eastAsia="Cambria" w:hAnsi="Trebuchet MS"/>
          <w:sz w:val="24"/>
          <w:highlight w:val="white"/>
        </w:rPr>
        <w:t xml:space="preserve"> the labor-specific componen</w:t>
      </w:r>
      <w:r w:rsidRPr="00492095">
        <w:rPr>
          <w:rFonts w:ascii="Trebuchet MS" w:eastAsia="Cambria" w:hAnsi="Trebuchet MS"/>
          <w:sz w:val="24"/>
          <w:highlight w:val="white"/>
        </w:rPr>
        <w:t xml:space="preserve">t of the Portland figure to </w:t>
      </w:r>
      <w:r w:rsidR="00B54EE0" w:rsidRPr="00492095">
        <w:rPr>
          <w:rFonts w:ascii="Trebuchet MS" w:eastAsia="Cambria" w:hAnsi="Trebuchet MS"/>
          <w:sz w:val="24"/>
          <w:highlight w:val="white"/>
        </w:rPr>
        <w:t>account for the geographic difference in labor cost</w:t>
      </w:r>
      <w:r w:rsidR="00B2084D" w:rsidRPr="00492095">
        <w:rPr>
          <w:rFonts w:ascii="Trebuchet MS" w:eastAsia="Cambria" w:hAnsi="Trebuchet MS"/>
          <w:sz w:val="24"/>
          <w:highlight w:val="white"/>
        </w:rPr>
        <w:t>s</w:t>
      </w:r>
      <w:r w:rsidR="008F4B54">
        <w:rPr>
          <w:rFonts w:ascii="Trebuchet MS" w:eastAsia="Cambria" w:hAnsi="Trebuchet MS"/>
          <w:sz w:val="24"/>
          <w:highlight w:val="white"/>
        </w:rPr>
        <w:t>.</w:t>
      </w:r>
      <w:r w:rsidR="008F4B54">
        <w:rPr>
          <w:rStyle w:val="FootnoteReference"/>
          <w:rFonts w:ascii="Trebuchet MS" w:eastAsia="Cambria" w:hAnsi="Trebuchet MS"/>
          <w:sz w:val="24"/>
          <w:highlight w:val="white"/>
        </w:rPr>
        <w:footnoteReference w:id="12"/>
      </w:r>
    </w:p>
    <w:p w14:paraId="2259E3CD" w14:textId="77777777" w:rsidR="00B54EE0" w:rsidRPr="00492095" w:rsidRDefault="00B54EE0" w:rsidP="00DA5AE3">
      <w:pPr>
        <w:pStyle w:val="Normal1"/>
        <w:spacing w:after="120"/>
        <w:rPr>
          <w:rFonts w:ascii="Trebuchet MS" w:hAnsi="Trebuchet MS"/>
          <w:sz w:val="24"/>
        </w:rPr>
      </w:pPr>
      <w:r w:rsidRPr="00492095">
        <w:rPr>
          <w:rFonts w:ascii="Trebuchet MS" w:eastAsia="Cambria" w:hAnsi="Trebuchet MS"/>
          <w:b/>
          <w:sz w:val="24"/>
          <w:highlight w:val="white"/>
        </w:rPr>
        <w:tab/>
      </w:r>
      <w:proofErr w:type="gramStart"/>
      <w:r w:rsidRPr="00492095">
        <w:rPr>
          <w:rFonts w:ascii="Trebuchet MS" w:eastAsia="Cambria" w:hAnsi="Trebuchet MS"/>
          <w:b/>
          <w:sz w:val="24"/>
          <w:highlight w:val="white"/>
        </w:rPr>
        <w:t>c</w:t>
      </w:r>
      <w:proofErr w:type="gramEnd"/>
      <w:r w:rsidRPr="00492095">
        <w:rPr>
          <w:rFonts w:ascii="Trebuchet MS" w:eastAsia="Cambria" w:hAnsi="Trebuchet MS"/>
          <w:b/>
          <w:sz w:val="24"/>
          <w:highlight w:val="white"/>
        </w:rPr>
        <w:t>. reconstruction cost and longevity</w:t>
      </w:r>
    </w:p>
    <w:p w14:paraId="6D84F754" w14:textId="7096F83A" w:rsidR="00B54EE0" w:rsidRPr="00492095" w:rsidRDefault="008B0C4E" w:rsidP="00DA5AE3">
      <w:pPr>
        <w:pStyle w:val="Normal1"/>
        <w:spacing w:after="120"/>
        <w:ind w:left="720"/>
        <w:rPr>
          <w:rFonts w:ascii="Trebuchet MS" w:hAnsi="Trebuchet MS"/>
          <w:sz w:val="24"/>
        </w:rPr>
      </w:pPr>
      <w:r w:rsidRPr="00492095">
        <w:rPr>
          <w:rFonts w:ascii="Trebuchet MS" w:eastAsia="Cambria" w:hAnsi="Trebuchet MS"/>
          <w:noProof/>
          <w:sz w:val="24"/>
          <w:lang w:eastAsia="en-US"/>
        </w:rPr>
        <w:lastRenderedPageBreak/>
        <mc:AlternateContent>
          <mc:Choice Requires="wps">
            <w:drawing>
              <wp:anchor distT="0" distB="0" distL="114300" distR="114300" simplePos="0" relativeHeight="251668480" behindDoc="0" locked="0" layoutInCell="1" allowOverlap="1" wp14:anchorId="5B360515" wp14:editId="29BA7010">
                <wp:simplePos x="0" y="0"/>
                <wp:positionH relativeFrom="column">
                  <wp:posOffset>2400300</wp:posOffset>
                </wp:positionH>
                <wp:positionV relativeFrom="paragraph">
                  <wp:posOffset>593725</wp:posOffset>
                </wp:positionV>
                <wp:extent cx="3429000" cy="35433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34290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22AA47" w14:textId="117CDC0A" w:rsidR="00190FCA" w:rsidRDefault="00190FCA">
                            <w:r>
                              <w:rPr>
                                <w:noProof/>
                              </w:rPr>
                              <w:drawing>
                                <wp:inline distT="0" distB="0" distL="0" distR="0" wp14:anchorId="7E121A89" wp14:editId="376CA568">
                                  <wp:extent cx="3105351" cy="3388930"/>
                                  <wp:effectExtent l="25400" t="25400" r="1905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782" cy="3389400"/>
                                          </a:xfrm>
                                          <a:prstGeom prst="rect">
                                            <a:avLst/>
                                          </a:prstGeom>
                                          <a:noFill/>
                                          <a:ln>
                                            <a:solidFill>
                                              <a:srgbClr val="000000"/>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4" type="#_x0000_t202" style="position:absolute;left:0;text-align:left;margin-left:189pt;margin-top:46.75pt;width:270pt;height:27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" filled="f" stroked="f">
                <v:textbox>
                  <w:txbxContent>
                    <w:p w14:paraId="5E22AA47" w14:textId="117CDC0A" w:rsidR="00190FCA" w:rsidRDefault="00190FCA">
                      <w:r>
                        <w:rPr>
                          <w:noProof/>
                        </w:rPr>
                        <w:drawing>
                          <wp:inline distT="0" distB="0" distL="0" distR="0" wp14:anchorId="7E121A89" wp14:editId="376CA568">
                            <wp:extent cx="3105351" cy="3388930"/>
                            <wp:effectExtent l="25400" t="25400" r="1905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782" cy="3389400"/>
                                    </a:xfrm>
                                    <a:prstGeom prst="rect">
                                      <a:avLst/>
                                    </a:prstGeom>
                                    <a:noFill/>
                                    <a:ln>
                                      <a:solidFill>
                                        <a:srgbClr val="000000"/>
                                      </a:solidFill>
                                    </a:ln>
                                  </pic:spPr>
                                </pic:pic>
                              </a:graphicData>
                            </a:graphic>
                          </wp:inline>
                        </w:drawing>
                      </w:r>
                    </w:p>
                  </w:txbxContent>
                </v:textbox>
                <w10:wrap type="square"/>
              </v:shape>
            </w:pict>
          </mc:Fallback>
        </mc:AlternateContent>
      </w:r>
      <w:r w:rsidR="00B54EE0" w:rsidRPr="00492095">
        <w:rPr>
          <w:rFonts w:ascii="Trebuchet MS" w:eastAsia="Cambria" w:hAnsi="Trebuchet MS"/>
          <w:sz w:val="24"/>
          <w:highlight w:val="white"/>
        </w:rPr>
        <w:t xml:space="preserve">Portland officials also shared estimates for the cost of reconstructing </w:t>
      </w:r>
      <w:proofErr w:type="spellStart"/>
      <w:r w:rsidR="00B54EE0" w:rsidRPr="00492095">
        <w:rPr>
          <w:rFonts w:ascii="Trebuchet MS" w:eastAsia="Cambria" w:hAnsi="Trebuchet MS"/>
          <w:sz w:val="24"/>
          <w:highlight w:val="white"/>
        </w:rPr>
        <w:t>bioswales</w:t>
      </w:r>
      <w:proofErr w:type="spellEnd"/>
      <w:r w:rsidR="002A2170">
        <w:rPr>
          <w:rFonts w:ascii="Trebuchet MS" w:eastAsia="Cambria" w:hAnsi="Trebuchet MS"/>
          <w:sz w:val="24"/>
          <w:highlight w:val="white"/>
        </w:rPr>
        <w:t xml:space="preserve">: a typical reconstruction </w:t>
      </w:r>
      <w:r w:rsidR="00B2084D" w:rsidRPr="00492095">
        <w:rPr>
          <w:rFonts w:ascii="Trebuchet MS" w:eastAsia="Cambria" w:hAnsi="Trebuchet MS"/>
          <w:sz w:val="24"/>
          <w:highlight w:val="white"/>
        </w:rPr>
        <w:t>cost</w:t>
      </w:r>
      <w:r w:rsidR="002A2170">
        <w:rPr>
          <w:rFonts w:ascii="Trebuchet MS" w:eastAsia="Cambria" w:hAnsi="Trebuchet MS"/>
          <w:sz w:val="24"/>
          <w:highlight w:val="white"/>
        </w:rPr>
        <w:t>s</w:t>
      </w:r>
      <w:r w:rsidR="00B2084D" w:rsidRPr="00492095">
        <w:rPr>
          <w:rFonts w:ascii="Trebuchet MS" w:eastAsia="Cambria" w:hAnsi="Trebuchet MS"/>
          <w:sz w:val="24"/>
          <w:highlight w:val="white"/>
        </w:rPr>
        <w:t xml:space="preserve"> roughly </w:t>
      </w:r>
      <w:r w:rsidR="00B54EE0" w:rsidRPr="00492095">
        <w:rPr>
          <w:rFonts w:ascii="Trebuchet MS" w:eastAsia="Cambria" w:hAnsi="Trebuchet MS"/>
          <w:sz w:val="24"/>
          <w:highlight w:val="white"/>
        </w:rPr>
        <w:t xml:space="preserve">60 percent of the </w:t>
      </w:r>
      <w:r w:rsidR="002A2170">
        <w:rPr>
          <w:rFonts w:ascii="Trebuchet MS" w:eastAsia="Cambria" w:hAnsi="Trebuchet MS"/>
          <w:sz w:val="24"/>
          <w:highlight w:val="white"/>
        </w:rPr>
        <w:t xml:space="preserve">installation’s </w:t>
      </w:r>
      <w:r w:rsidR="00B54EE0" w:rsidRPr="00492095">
        <w:rPr>
          <w:rFonts w:ascii="Trebuchet MS" w:eastAsia="Cambria" w:hAnsi="Trebuchet MS"/>
          <w:sz w:val="24"/>
          <w:highlight w:val="white"/>
        </w:rPr>
        <w:t>original construction and design costs. Appli</w:t>
      </w:r>
      <w:r w:rsidR="00866D16" w:rsidRPr="00492095">
        <w:rPr>
          <w:rFonts w:ascii="Trebuchet MS" w:eastAsia="Cambria" w:hAnsi="Trebuchet MS"/>
          <w:sz w:val="24"/>
          <w:highlight w:val="white"/>
        </w:rPr>
        <w:t xml:space="preserve">ed to </w:t>
      </w:r>
      <w:r w:rsidR="002A2170">
        <w:rPr>
          <w:rFonts w:ascii="Trebuchet MS" w:eastAsia="Cambria" w:hAnsi="Trebuchet MS"/>
          <w:sz w:val="24"/>
          <w:highlight w:val="white"/>
        </w:rPr>
        <w:t xml:space="preserve">NYC </w:t>
      </w:r>
      <w:r w:rsidR="00866D16" w:rsidRPr="00492095">
        <w:rPr>
          <w:rFonts w:ascii="Trebuchet MS" w:eastAsia="Cambria" w:hAnsi="Trebuchet MS"/>
          <w:sz w:val="24"/>
          <w:highlight w:val="white"/>
        </w:rPr>
        <w:t>Environmental Protection</w:t>
      </w:r>
      <w:r w:rsidR="00B54EE0" w:rsidRPr="00492095">
        <w:rPr>
          <w:rFonts w:ascii="Trebuchet MS" w:eastAsia="Cambria" w:hAnsi="Trebuchet MS"/>
          <w:sz w:val="24"/>
          <w:highlight w:val="white"/>
        </w:rPr>
        <w:t>’s initial cost figures, th</w:t>
      </w:r>
      <w:r w:rsidR="002A2170">
        <w:rPr>
          <w:rFonts w:ascii="Trebuchet MS" w:eastAsia="Cambria" w:hAnsi="Trebuchet MS"/>
          <w:sz w:val="24"/>
          <w:highlight w:val="white"/>
        </w:rPr>
        <w:t>e information from Portland suggests it would</w:t>
      </w:r>
      <w:r w:rsidR="00B54EE0" w:rsidRPr="00492095">
        <w:rPr>
          <w:rFonts w:ascii="Trebuchet MS" w:eastAsia="Cambria" w:hAnsi="Trebuchet MS"/>
          <w:sz w:val="24"/>
          <w:highlight w:val="white"/>
        </w:rPr>
        <w:t xml:space="preserve"> cost $18,000 </w:t>
      </w:r>
      <w:r w:rsidR="002A2170">
        <w:rPr>
          <w:rFonts w:ascii="Trebuchet MS" w:eastAsia="Cambria" w:hAnsi="Trebuchet MS"/>
          <w:sz w:val="24"/>
          <w:highlight w:val="white"/>
        </w:rPr>
        <w:t xml:space="preserve">to reconstruct a typical right-of-way </w:t>
      </w:r>
      <w:proofErr w:type="spellStart"/>
      <w:r w:rsidR="002A2170">
        <w:rPr>
          <w:rFonts w:ascii="Trebuchet MS" w:eastAsia="Cambria" w:hAnsi="Trebuchet MS"/>
          <w:sz w:val="24"/>
          <w:highlight w:val="white"/>
        </w:rPr>
        <w:t>bioswale</w:t>
      </w:r>
      <w:proofErr w:type="spellEnd"/>
      <w:r w:rsidR="002A2170">
        <w:rPr>
          <w:rFonts w:ascii="Trebuchet MS" w:eastAsia="Cambria" w:hAnsi="Trebuchet MS"/>
          <w:sz w:val="24"/>
          <w:highlight w:val="white"/>
        </w:rPr>
        <w:t xml:space="preserve"> in New York City, a step that would be needed, on average,</w:t>
      </w:r>
      <w:r w:rsidR="00B54EE0" w:rsidRPr="00492095">
        <w:rPr>
          <w:rFonts w:ascii="Trebuchet MS" w:eastAsia="Cambria" w:hAnsi="Trebuchet MS"/>
          <w:sz w:val="24"/>
          <w:highlight w:val="white"/>
        </w:rPr>
        <w:t xml:space="preserve"> 25 years after construction.</w:t>
      </w:r>
    </w:p>
    <w:p w14:paraId="6F64E596" w14:textId="282B44C8" w:rsidR="00D25BDC" w:rsidRPr="00492095" w:rsidRDefault="00D25BDC" w:rsidP="00DA5AE3">
      <w:pPr>
        <w:pStyle w:val="Normal1"/>
        <w:spacing w:after="120"/>
        <w:ind w:firstLine="720"/>
        <w:rPr>
          <w:rFonts w:ascii="Trebuchet MS" w:hAnsi="Trebuchet MS"/>
          <w:sz w:val="24"/>
        </w:rPr>
      </w:pPr>
      <w:proofErr w:type="gramStart"/>
      <w:r w:rsidRPr="00492095">
        <w:rPr>
          <w:rFonts w:ascii="Trebuchet MS" w:eastAsia="Cambria" w:hAnsi="Trebuchet MS"/>
          <w:b/>
          <w:sz w:val="24"/>
          <w:highlight w:val="white"/>
        </w:rPr>
        <w:t>d</w:t>
      </w:r>
      <w:proofErr w:type="gramEnd"/>
      <w:r w:rsidRPr="00492095">
        <w:rPr>
          <w:rFonts w:ascii="Trebuchet MS" w:eastAsia="Cambria" w:hAnsi="Trebuchet MS"/>
          <w:b/>
          <w:sz w:val="24"/>
          <w:highlight w:val="white"/>
        </w:rPr>
        <w:t xml:space="preserve">. efficiency </w:t>
      </w:r>
    </w:p>
    <w:p w14:paraId="4BDE2F1C" w14:textId="0B920E9E" w:rsidR="0016071E" w:rsidRPr="00492095" w:rsidRDefault="008B0C4E" w:rsidP="00DA5AE3">
      <w:pPr>
        <w:pStyle w:val="Normal1"/>
        <w:spacing w:after="120"/>
        <w:ind w:left="720"/>
        <w:rPr>
          <w:rFonts w:ascii="Trebuchet MS" w:hAnsi="Trebuchet MS"/>
          <w:sz w:val="24"/>
        </w:rPr>
      </w:pPr>
      <w:r w:rsidRPr="00492095">
        <w:rPr>
          <w:rFonts w:ascii="Trebuchet MS" w:eastAsia="Cambria" w:hAnsi="Trebuchet MS"/>
          <w:noProof/>
          <w:sz w:val="24"/>
          <w:lang w:eastAsia="en-US"/>
        </w:rPr>
        <mc:AlternateContent>
          <mc:Choice Requires="wps">
            <w:drawing>
              <wp:anchor distT="0" distB="0" distL="114300" distR="114300" simplePos="0" relativeHeight="251681792" behindDoc="0" locked="0" layoutInCell="1" allowOverlap="1" wp14:anchorId="45E284F3" wp14:editId="4B7A2E07">
                <wp:simplePos x="0" y="0"/>
                <wp:positionH relativeFrom="column">
                  <wp:posOffset>2514600</wp:posOffset>
                </wp:positionH>
                <wp:positionV relativeFrom="paragraph">
                  <wp:posOffset>525145</wp:posOffset>
                </wp:positionV>
                <wp:extent cx="3314700" cy="685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3147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C81633" w14:textId="77777777" w:rsidR="00190FCA" w:rsidRPr="00492095" w:rsidRDefault="00190FCA" w:rsidP="008B0C4E">
                            <w:pPr>
                              <w:rPr>
                                <w:rFonts w:ascii="Trebuchet MS" w:hAnsi="Trebuchet MS"/>
                                <w:i/>
                                <w:color w:val="808080" w:themeColor="background1" w:themeShade="80"/>
                                <w:sz w:val="20"/>
                                <w:szCs w:val="20"/>
                              </w:rPr>
                            </w:pPr>
                            <w:proofErr w:type="spellStart"/>
                            <w:r w:rsidRPr="00492095">
                              <w:rPr>
                                <w:rFonts w:ascii="Trebuchet MS" w:hAnsi="Trebuchet MS"/>
                                <w:i/>
                                <w:color w:val="808080" w:themeColor="background1" w:themeShade="80"/>
                                <w:sz w:val="20"/>
                                <w:szCs w:val="20"/>
                              </w:rPr>
                              <w:t>Bioswales</w:t>
                            </w:r>
                            <w:proofErr w:type="spellEnd"/>
                            <w:r w:rsidRPr="00492095">
                              <w:rPr>
                                <w:rFonts w:ascii="Trebuchet MS" w:hAnsi="Trebuchet MS"/>
                                <w:i/>
                                <w:color w:val="808080" w:themeColor="background1" w:themeShade="80"/>
                                <w:sz w:val="20"/>
                                <w:szCs w:val="20"/>
                              </w:rPr>
                              <w:t xml:space="preserve"> may cost more per gallon of water captured, given their relative efficiency, than per</w:t>
                            </w:r>
                            <w:r>
                              <w:rPr>
                                <w:rFonts w:ascii="Trebuchet MS" w:hAnsi="Trebuchet MS"/>
                                <w:i/>
                                <w:color w:val="808080" w:themeColor="background1" w:themeShade="80"/>
                                <w:sz w:val="20"/>
                                <w:szCs w:val="20"/>
                              </w:rPr>
                              <w:t>meable pavement but smart</w:t>
                            </w:r>
                            <w:r w:rsidRPr="00492095">
                              <w:rPr>
                                <w:rFonts w:ascii="Trebuchet MS" w:hAnsi="Trebuchet MS"/>
                                <w:i/>
                                <w:color w:val="808080" w:themeColor="background1" w:themeShade="80"/>
                                <w:sz w:val="20"/>
                                <w:szCs w:val="20"/>
                              </w:rPr>
                              <w:t xml:space="preserve"> design would help close any such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198pt;margin-top:41.35pt;width:261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" filled="f" stroked="f">
                <v:textbox>
                  <w:txbxContent>
                    <w:p w14:paraId="41C81633" w14:textId="77777777" w:rsidR="00190FCA" w:rsidRPr="00492095" w:rsidRDefault="00190FCA" w:rsidP="008B0C4E">
                      <w:pPr>
                        <w:rPr>
                          <w:rFonts w:ascii="Trebuchet MS" w:hAnsi="Trebuchet MS"/>
                          <w:i/>
                          <w:color w:val="808080" w:themeColor="background1" w:themeShade="80"/>
                          <w:sz w:val="20"/>
                          <w:szCs w:val="20"/>
                        </w:rPr>
                      </w:pPr>
                      <w:proofErr w:type="spellStart"/>
                      <w:r w:rsidRPr="00492095">
                        <w:rPr>
                          <w:rFonts w:ascii="Trebuchet MS" w:hAnsi="Trebuchet MS"/>
                          <w:i/>
                          <w:color w:val="808080" w:themeColor="background1" w:themeShade="80"/>
                          <w:sz w:val="20"/>
                          <w:szCs w:val="20"/>
                        </w:rPr>
                        <w:t>Bioswales</w:t>
                      </w:r>
                      <w:proofErr w:type="spellEnd"/>
                      <w:r w:rsidRPr="00492095">
                        <w:rPr>
                          <w:rFonts w:ascii="Trebuchet MS" w:hAnsi="Trebuchet MS"/>
                          <w:i/>
                          <w:color w:val="808080" w:themeColor="background1" w:themeShade="80"/>
                          <w:sz w:val="20"/>
                          <w:szCs w:val="20"/>
                        </w:rPr>
                        <w:t xml:space="preserve"> may cost more per gallon of water captured, given their relative efficiency, than per</w:t>
                      </w:r>
                      <w:r>
                        <w:rPr>
                          <w:rFonts w:ascii="Trebuchet MS" w:hAnsi="Trebuchet MS"/>
                          <w:i/>
                          <w:color w:val="808080" w:themeColor="background1" w:themeShade="80"/>
                          <w:sz w:val="20"/>
                          <w:szCs w:val="20"/>
                        </w:rPr>
                        <w:t>meable pavement but smart</w:t>
                      </w:r>
                      <w:r w:rsidRPr="00492095">
                        <w:rPr>
                          <w:rFonts w:ascii="Trebuchet MS" w:hAnsi="Trebuchet MS"/>
                          <w:i/>
                          <w:color w:val="808080" w:themeColor="background1" w:themeShade="80"/>
                          <w:sz w:val="20"/>
                          <w:szCs w:val="20"/>
                        </w:rPr>
                        <w:t xml:space="preserve"> design would help close any such gap.</w:t>
                      </w:r>
                    </w:p>
                  </w:txbxContent>
                </v:textbox>
                <w10:wrap type="square"/>
              </v:shape>
            </w:pict>
          </mc:Fallback>
        </mc:AlternateContent>
      </w:r>
      <w:r w:rsidR="00B2084D" w:rsidRPr="00492095">
        <w:rPr>
          <w:rFonts w:ascii="Trebuchet MS" w:hAnsi="Trebuchet MS"/>
          <w:sz w:val="24"/>
        </w:rPr>
        <w:t xml:space="preserve">Documents from the </w:t>
      </w:r>
      <w:r w:rsidR="002A2170">
        <w:rPr>
          <w:rFonts w:ascii="Trebuchet MS" w:hAnsi="Trebuchet MS"/>
          <w:sz w:val="24"/>
        </w:rPr>
        <w:t>C</w:t>
      </w:r>
      <w:r w:rsidR="00B2084D" w:rsidRPr="00492095">
        <w:rPr>
          <w:rFonts w:ascii="Trebuchet MS" w:hAnsi="Trebuchet MS"/>
          <w:sz w:val="24"/>
        </w:rPr>
        <w:t xml:space="preserve">ity’s Transportation Department suggest </w:t>
      </w:r>
      <w:r w:rsidR="002A2170">
        <w:rPr>
          <w:rFonts w:ascii="Trebuchet MS" w:hAnsi="Trebuchet MS"/>
          <w:sz w:val="24"/>
        </w:rPr>
        <w:t>Environmental Protection</w:t>
      </w:r>
      <w:r w:rsidR="00B2084D" w:rsidRPr="00492095">
        <w:rPr>
          <w:rFonts w:ascii="Trebuchet MS" w:hAnsi="Trebuchet MS"/>
          <w:sz w:val="24"/>
        </w:rPr>
        <w:t xml:space="preserve"> assigns a 0.2-cent cost to the treatment of one</w:t>
      </w:r>
      <w:r w:rsidR="0016071E" w:rsidRPr="00492095">
        <w:rPr>
          <w:rFonts w:ascii="Trebuchet MS" w:hAnsi="Trebuchet MS"/>
          <w:sz w:val="24"/>
        </w:rPr>
        <w:t xml:space="preserve"> gallon of storm</w:t>
      </w:r>
      <w:r w:rsidR="00B2084D" w:rsidRPr="00492095">
        <w:rPr>
          <w:rFonts w:ascii="Trebuchet MS" w:hAnsi="Trebuchet MS"/>
          <w:sz w:val="24"/>
        </w:rPr>
        <w:t xml:space="preserve"> water.</w:t>
      </w:r>
    </w:p>
    <w:p w14:paraId="18696BCE" w14:textId="58D9753E" w:rsidR="0016071E" w:rsidRPr="00492095" w:rsidRDefault="0016071E" w:rsidP="00DA5AE3">
      <w:pPr>
        <w:pStyle w:val="Normal1"/>
        <w:spacing w:after="120"/>
        <w:ind w:left="720"/>
        <w:rPr>
          <w:rFonts w:ascii="Trebuchet MS" w:hAnsi="Trebuchet MS"/>
          <w:sz w:val="24"/>
        </w:rPr>
      </w:pPr>
      <w:r w:rsidRPr="00492095">
        <w:rPr>
          <w:rFonts w:ascii="Trebuchet MS" w:eastAsia="Cambria" w:hAnsi="Trebuchet MS"/>
          <w:sz w:val="24"/>
          <w:highlight w:val="white"/>
        </w:rPr>
        <w:t xml:space="preserve">Monitoring at a handful of green infrastructure installations across the </w:t>
      </w:r>
      <w:r w:rsidR="002A2170">
        <w:rPr>
          <w:rFonts w:ascii="Trebuchet MS" w:eastAsia="Cambria" w:hAnsi="Trebuchet MS"/>
          <w:sz w:val="24"/>
          <w:highlight w:val="white"/>
        </w:rPr>
        <w:t>C</w:t>
      </w:r>
      <w:r w:rsidRPr="00492095">
        <w:rPr>
          <w:rFonts w:ascii="Trebuchet MS" w:eastAsia="Cambria" w:hAnsi="Trebuchet MS"/>
          <w:sz w:val="24"/>
          <w:highlight w:val="white"/>
        </w:rPr>
        <w:t>ity suggest</w:t>
      </w:r>
      <w:r w:rsidR="00ED2256">
        <w:rPr>
          <w:rFonts w:ascii="Trebuchet MS" w:eastAsia="Cambria" w:hAnsi="Trebuchet MS"/>
          <w:sz w:val="24"/>
          <w:highlight w:val="white"/>
        </w:rPr>
        <w:t>s</w:t>
      </w:r>
      <w:r w:rsidRPr="00492095">
        <w:rPr>
          <w:rFonts w:ascii="Trebuchet MS" w:eastAsia="Cambria" w:hAnsi="Trebuchet MS"/>
          <w:sz w:val="24"/>
          <w:highlight w:val="white"/>
        </w:rPr>
        <w:t xml:space="preserve"> </w:t>
      </w:r>
      <w:r w:rsidR="00ED2256">
        <w:rPr>
          <w:rFonts w:ascii="Trebuchet MS" w:eastAsia="Cambria" w:hAnsi="Trebuchet MS"/>
          <w:sz w:val="24"/>
          <w:highlight w:val="white"/>
        </w:rPr>
        <w:t xml:space="preserve">the typical </w:t>
      </w:r>
      <w:proofErr w:type="spellStart"/>
      <w:r w:rsidRPr="00492095">
        <w:rPr>
          <w:rFonts w:ascii="Trebuchet MS" w:eastAsia="Cambria" w:hAnsi="Trebuchet MS"/>
          <w:sz w:val="24"/>
          <w:highlight w:val="white"/>
        </w:rPr>
        <w:t>bioswale</w:t>
      </w:r>
      <w:proofErr w:type="spellEnd"/>
      <w:r w:rsidRPr="00492095">
        <w:rPr>
          <w:rFonts w:ascii="Trebuchet MS" w:eastAsia="Cambria" w:hAnsi="Trebuchet MS"/>
          <w:sz w:val="24"/>
          <w:highlight w:val="white"/>
        </w:rPr>
        <w:t xml:space="preserve"> capture</w:t>
      </w:r>
      <w:r w:rsidR="00ED2256">
        <w:rPr>
          <w:rFonts w:ascii="Trebuchet MS" w:eastAsia="Cambria" w:hAnsi="Trebuchet MS"/>
          <w:sz w:val="24"/>
          <w:highlight w:val="white"/>
        </w:rPr>
        <w:t>s</w:t>
      </w:r>
      <w:r w:rsidRPr="00492095">
        <w:rPr>
          <w:rFonts w:ascii="Trebuchet MS" w:eastAsia="Cambria" w:hAnsi="Trebuchet MS"/>
          <w:sz w:val="24"/>
          <w:highlight w:val="white"/>
        </w:rPr>
        <w:t xml:space="preserve"> the overwhelming portion of storm</w:t>
      </w:r>
      <w:r w:rsidR="00B2084D" w:rsidRPr="00492095">
        <w:rPr>
          <w:rFonts w:ascii="Trebuchet MS" w:eastAsia="Cambria" w:hAnsi="Trebuchet MS"/>
          <w:sz w:val="24"/>
          <w:highlight w:val="white"/>
        </w:rPr>
        <w:t xml:space="preserve"> </w:t>
      </w:r>
      <w:r w:rsidRPr="00492095">
        <w:rPr>
          <w:rFonts w:ascii="Trebuchet MS" w:eastAsia="Cambria" w:hAnsi="Trebuchet MS"/>
          <w:sz w:val="24"/>
          <w:highlight w:val="white"/>
        </w:rPr>
        <w:t>water during small rain</w:t>
      </w:r>
      <w:r w:rsidR="00A81A5A">
        <w:rPr>
          <w:rFonts w:ascii="Trebuchet MS" w:eastAsia="Cambria" w:hAnsi="Trebuchet MS"/>
          <w:sz w:val="24"/>
          <w:highlight w:val="white"/>
        </w:rPr>
        <w:t xml:space="preserve"> events</w:t>
      </w:r>
      <w:r w:rsidRPr="00492095">
        <w:rPr>
          <w:rFonts w:ascii="Trebuchet MS" w:eastAsia="Cambria" w:hAnsi="Trebuchet MS"/>
          <w:sz w:val="24"/>
          <w:highlight w:val="white"/>
        </w:rPr>
        <w:t>, and capture</w:t>
      </w:r>
      <w:r w:rsidR="00ED2256">
        <w:rPr>
          <w:rFonts w:ascii="Trebuchet MS" w:eastAsia="Cambria" w:hAnsi="Trebuchet MS"/>
          <w:sz w:val="24"/>
          <w:highlight w:val="white"/>
        </w:rPr>
        <w:t xml:space="preserve">s </w:t>
      </w:r>
      <w:r w:rsidR="00ED2256">
        <w:rPr>
          <w:rFonts w:ascii="Trebuchet MS" w:eastAsia="Cambria" w:hAnsi="Trebuchet MS"/>
          <w:i/>
          <w:sz w:val="24"/>
          <w:highlight w:val="white"/>
        </w:rPr>
        <w:t>much</w:t>
      </w:r>
      <w:r w:rsidRPr="00492095">
        <w:rPr>
          <w:rFonts w:ascii="Trebuchet MS" w:eastAsia="Cambria" w:hAnsi="Trebuchet MS"/>
          <w:sz w:val="24"/>
          <w:highlight w:val="white"/>
        </w:rPr>
        <w:t xml:space="preserve"> of the storm</w:t>
      </w:r>
      <w:r w:rsidR="008355C2">
        <w:rPr>
          <w:rFonts w:ascii="Trebuchet MS" w:eastAsia="Cambria" w:hAnsi="Trebuchet MS"/>
          <w:sz w:val="24"/>
          <w:highlight w:val="white"/>
        </w:rPr>
        <w:t xml:space="preserve"> </w:t>
      </w:r>
      <w:r w:rsidR="00B2084D" w:rsidRPr="00492095">
        <w:rPr>
          <w:rFonts w:ascii="Trebuchet MS" w:eastAsia="Cambria" w:hAnsi="Trebuchet MS"/>
          <w:sz w:val="24"/>
          <w:highlight w:val="white"/>
        </w:rPr>
        <w:t>water during medium</w:t>
      </w:r>
      <w:r w:rsidRPr="00492095">
        <w:rPr>
          <w:rFonts w:ascii="Trebuchet MS" w:eastAsia="Cambria" w:hAnsi="Trebuchet MS"/>
          <w:sz w:val="24"/>
          <w:highlight w:val="white"/>
        </w:rPr>
        <w:t xml:space="preserve"> rainfalls, but capture</w:t>
      </w:r>
      <w:r w:rsidR="00ED2256">
        <w:rPr>
          <w:rFonts w:ascii="Trebuchet MS" w:eastAsia="Cambria" w:hAnsi="Trebuchet MS"/>
          <w:sz w:val="24"/>
          <w:highlight w:val="white"/>
        </w:rPr>
        <w:t>s</w:t>
      </w:r>
      <w:r w:rsidRPr="00492095">
        <w:rPr>
          <w:rFonts w:ascii="Trebuchet MS" w:eastAsia="Cambria" w:hAnsi="Trebuchet MS"/>
          <w:sz w:val="24"/>
          <w:highlight w:val="white"/>
        </w:rPr>
        <w:t xml:space="preserve"> only a fraction of the water during severe storms with </w:t>
      </w:r>
      <w:r w:rsidR="00A81A5A">
        <w:rPr>
          <w:rFonts w:ascii="Trebuchet MS" w:eastAsia="Cambria" w:hAnsi="Trebuchet MS"/>
          <w:sz w:val="24"/>
          <w:highlight w:val="white"/>
        </w:rPr>
        <w:t>larger storms with significant rain</w:t>
      </w:r>
      <w:r w:rsidRPr="00492095">
        <w:rPr>
          <w:rFonts w:ascii="Trebuchet MS" w:eastAsia="Cambria" w:hAnsi="Trebuchet MS"/>
          <w:sz w:val="24"/>
          <w:highlight w:val="white"/>
        </w:rPr>
        <w:t xml:space="preserve">. That information, however, </w:t>
      </w:r>
      <w:r w:rsidR="00ED2256">
        <w:rPr>
          <w:rFonts w:ascii="Trebuchet MS" w:eastAsia="Cambria" w:hAnsi="Trebuchet MS"/>
          <w:sz w:val="24"/>
          <w:highlight w:val="white"/>
        </w:rPr>
        <w:t>comes</w:t>
      </w:r>
      <w:r w:rsidRPr="00492095">
        <w:rPr>
          <w:rFonts w:ascii="Trebuchet MS" w:eastAsia="Cambria" w:hAnsi="Trebuchet MS"/>
          <w:sz w:val="24"/>
          <w:highlight w:val="white"/>
        </w:rPr>
        <w:t xml:space="preserve"> from monitoring results based on pilot projects built before the City’s recent and significant investment in green infrastructure. The reported efficiency from those monitoring reports therefore must be adopted with cautio</w:t>
      </w:r>
      <w:r w:rsidR="00866D16" w:rsidRPr="00492095">
        <w:rPr>
          <w:rFonts w:ascii="Trebuchet MS" w:eastAsia="Cambria" w:hAnsi="Trebuchet MS"/>
          <w:sz w:val="24"/>
          <w:highlight w:val="white"/>
        </w:rPr>
        <w:t>n, as Environmental Protection</w:t>
      </w:r>
      <w:r w:rsidRPr="00492095">
        <w:rPr>
          <w:rFonts w:ascii="Trebuchet MS" w:eastAsia="Cambria" w:hAnsi="Trebuchet MS"/>
          <w:sz w:val="24"/>
          <w:highlight w:val="white"/>
        </w:rPr>
        <w:t xml:space="preserve">’s green infrastructure office suggests </w:t>
      </w:r>
      <w:r w:rsidR="00A81A5A">
        <w:rPr>
          <w:rFonts w:ascii="Trebuchet MS" w:eastAsia="Cambria" w:hAnsi="Trebuchet MS"/>
          <w:sz w:val="24"/>
          <w:highlight w:val="white"/>
        </w:rPr>
        <w:t xml:space="preserve">the department’s </w:t>
      </w:r>
      <w:r w:rsidRPr="00492095">
        <w:rPr>
          <w:rFonts w:ascii="Trebuchet MS" w:eastAsia="Cambria" w:hAnsi="Trebuchet MS"/>
          <w:sz w:val="24"/>
          <w:highlight w:val="white"/>
        </w:rPr>
        <w:t>more recently</w:t>
      </w:r>
      <w:r w:rsidR="00ED2256">
        <w:rPr>
          <w:rFonts w:ascii="Trebuchet MS" w:eastAsia="Cambria" w:hAnsi="Trebuchet MS"/>
          <w:sz w:val="24"/>
          <w:highlight w:val="white"/>
        </w:rPr>
        <w:t>-</w:t>
      </w:r>
      <w:r w:rsidRPr="00492095">
        <w:rPr>
          <w:rFonts w:ascii="Trebuchet MS" w:eastAsia="Cambria" w:hAnsi="Trebuchet MS"/>
          <w:sz w:val="24"/>
          <w:highlight w:val="white"/>
        </w:rPr>
        <w:t>designed an</w:t>
      </w:r>
      <w:r w:rsidR="00B2084D" w:rsidRPr="00492095">
        <w:rPr>
          <w:rFonts w:ascii="Trebuchet MS" w:eastAsia="Cambria" w:hAnsi="Trebuchet MS"/>
          <w:sz w:val="24"/>
          <w:highlight w:val="white"/>
        </w:rPr>
        <w:t xml:space="preserve">d </w:t>
      </w:r>
      <w:r w:rsidR="00ED2256">
        <w:rPr>
          <w:rFonts w:ascii="Trebuchet MS" w:eastAsia="Cambria" w:hAnsi="Trebuchet MS"/>
          <w:sz w:val="24"/>
          <w:highlight w:val="white"/>
        </w:rPr>
        <w:t>-</w:t>
      </w:r>
      <w:r w:rsidR="00B2084D" w:rsidRPr="00492095">
        <w:rPr>
          <w:rFonts w:ascii="Trebuchet MS" w:eastAsia="Cambria" w:hAnsi="Trebuchet MS"/>
          <w:sz w:val="24"/>
          <w:highlight w:val="white"/>
        </w:rPr>
        <w:t xml:space="preserve">built </w:t>
      </w:r>
      <w:proofErr w:type="spellStart"/>
      <w:r w:rsidR="00B2084D" w:rsidRPr="00492095">
        <w:rPr>
          <w:rFonts w:ascii="Trebuchet MS" w:eastAsia="Cambria" w:hAnsi="Trebuchet MS"/>
          <w:sz w:val="24"/>
          <w:highlight w:val="white"/>
        </w:rPr>
        <w:t>bioswales</w:t>
      </w:r>
      <w:proofErr w:type="spellEnd"/>
      <w:r w:rsidR="00B2084D" w:rsidRPr="00492095">
        <w:rPr>
          <w:rFonts w:ascii="Trebuchet MS" w:eastAsia="Cambria" w:hAnsi="Trebuchet MS"/>
          <w:sz w:val="24"/>
          <w:highlight w:val="white"/>
        </w:rPr>
        <w:t xml:space="preserve"> </w:t>
      </w:r>
      <w:r w:rsidR="00A81A5A">
        <w:rPr>
          <w:rFonts w:ascii="Trebuchet MS" w:eastAsia="Cambria" w:hAnsi="Trebuchet MS"/>
          <w:sz w:val="24"/>
          <w:highlight w:val="white"/>
        </w:rPr>
        <w:t>may</w:t>
      </w:r>
      <w:r w:rsidR="00B2084D" w:rsidRPr="00492095">
        <w:rPr>
          <w:rFonts w:ascii="Trebuchet MS" w:eastAsia="Cambria" w:hAnsi="Trebuchet MS"/>
          <w:sz w:val="24"/>
          <w:highlight w:val="white"/>
        </w:rPr>
        <w:t xml:space="preserve"> perform </w:t>
      </w:r>
      <w:r w:rsidR="00A81A5A">
        <w:rPr>
          <w:rFonts w:ascii="Trebuchet MS" w:eastAsia="Cambria" w:hAnsi="Trebuchet MS"/>
          <w:sz w:val="24"/>
          <w:highlight w:val="white"/>
        </w:rPr>
        <w:t>better</w:t>
      </w:r>
      <w:r w:rsidR="00B2084D" w:rsidRPr="00492095">
        <w:rPr>
          <w:rFonts w:ascii="Trebuchet MS" w:eastAsia="Cambria" w:hAnsi="Trebuchet MS"/>
          <w:sz w:val="24"/>
          <w:highlight w:val="white"/>
        </w:rPr>
        <w:t>.</w:t>
      </w:r>
      <w:r w:rsidR="0084508D" w:rsidRPr="00492095">
        <w:rPr>
          <w:rFonts w:ascii="Trebuchet MS" w:eastAsia="Cambria" w:hAnsi="Trebuchet MS"/>
          <w:sz w:val="24"/>
          <w:highlight w:val="white"/>
        </w:rPr>
        <w:t xml:space="preserve"> </w:t>
      </w:r>
      <w:r w:rsidR="00866D16" w:rsidRPr="00492095">
        <w:rPr>
          <w:rFonts w:ascii="Trebuchet MS" w:eastAsia="Cambria" w:hAnsi="Trebuchet MS"/>
          <w:sz w:val="24"/>
          <w:highlight w:val="white"/>
        </w:rPr>
        <w:t>Environmental Protection</w:t>
      </w:r>
      <w:r w:rsidRPr="00492095">
        <w:rPr>
          <w:rFonts w:ascii="Trebuchet MS" w:eastAsia="Cambria" w:hAnsi="Trebuchet MS"/>
          <w:sz w:val="24"/>
          <w:highlight w:val="white"/>
        </w:rPr>
        <w:t xml:space="preserve"> publications </w:t>
      </w:r>
      <w:r w:rsidR="00B2084D" w:rsidRPr="00492095">
        <w:rPr>
          <w:rFonts w:ascii="Trebuchet MS" w:eastAsia="Cambria" w:hAnsi="Trebuchet MS"/>
          <w:sz w:val="24"/>
          <w:highlight w:val="white"/>
        </w:rPr>
        <w:t xml:space="preserve">nevertheless </w:t>
      </w:r>
      <w:r w:rsidRPr="00492095">
        <w:rPr>
          <w:rFonts w:ascii="Trebuchet MS" w:eastAsia="Cambria" w:hAnsi="Trebuchet MS"/>
          <w:sz w:val="24"/>
          <w:highlight w:val="white"/>
        </w:rPr>
        <w:t xml:space="preserve">indicate </w:t>
      </w:r>
      <w:proofErr w:type="spellStart"/>
      <w:r w:rsidRPr="00492095">
        <w:rPr>
          <w:rFonts w:ascii="Trebuchet MS" w:eastAsia="Cambria" w:hAnsi="Trebuchet MS"/>
          <w:sz w:val="24"/>
          <w:highlight w:val="white"/>
        </w:rPr>
        <w:t>bioswales</w:t>
      </w:r>
      <w:proofErr w:type="spellEnd"/>
      <w:r w:rsidRPr="00492095">
        <w:rPr>
          <w:rFonts w:ascii="Trebuchet MS" w:eastAsia="Cambria" w:hAnsi="Trebuchet MS"/>
          <w:sz w:val="24"/>
          <w:highlight w:val="white"/>
        </w:rPr>
        <w:t xml:space="preserve"> may capture roughly 40 percent of storm</w:t>
      </w:r>
      <w:r w:rsidR="00B2084D" w:rsidRPr="00492095">
        <w:rPr>
          <w:rFonts w:ascii="Trebuchet MS" w:eastAsia="Cambria" w:hAnsi="Trebuchet MS"/>
          <w:sz w:val="24"/>
          <w:highlight w:val="white"/>
        </w:rPr>
        <w:t xml:space="preserve"> </w:t>
      </w:r>
      <w:r w:rsidRPr="00492095">
        <w:rPr>
          <w:rFonts w:ascii="Trebuchet MS" w:eastAsia="Cambria" w:hAnsi="Trebuchet MS"/>
          <w:sz w:val="24"/>
          <w:highlight w:val="white"/>
        </w:rPr>
        <w:t>water from their respective catchment areas during a typical one-inch rainfall (</w:t>
      </w:r>
      <w:proofErr w:type="spellStart"/>
      <w:r w:rsidRPr="00492095">
        <w:rPr>
          <w:rFonts w:ascii="Trebuchet MS" w:eastAsia="Cambria" w:hAnsi="Trebuchet MS"/>
          <w:sz w:val="24"/>
          <w:highlight w:val="white"/>
        </w:rPr>
        <w:t>DEP</w:t>
      </w:r>
      <w:proofErr w:type="spellEnd"/>
      <w:r w:rsidRPr="00492095">
        <w:rPr>
          <w:rFonts w:ascii="Trebuchet MS" w:eastAsia="Cambria" w:hAnsi="Trebuchet MS"/>
          <w:sz w:val="24"/>
          <w:highlight w:val="white"/>
        </w:rPr>
        <w:t xml:space="preserve"> 2011).</w:t>
      </w:r>
    </w:p>
    <w:p w14:paraId="2F481F4D" w14:textId="77777777" w:rsidR="00B54EE0" w:rsidRPr="00492095" w:rsidRDefault="00B54EE0" w:rsidP="00DA5AE3">
      <w:pPr>
        <w:pStyle w:val="Heading2"/>
        <w:spacing w:before="0" w:after="120" w:line="276" w:lineRule="auto"/>
        <w:rPr>
          <w:rFonts w:ascii="Trebuchet MS" w:hAnsi="Trebuchet MS" w:cs="Arial"/>
        </w:rPr>
      </w:pPr>
      <w:bookmarkStart w:id="10" w:name="_Toc266201045"/>
      <w:r w:rsidRPr="00492095">
        <w:rPr>
          <w:rFonts w:ascii="Trebuchet MS" w:hAnsi="Trebuchet MS" w:cs="Arial"/>
          <w:highlight w:val="white"/>
        </w:rPr>
        <w:lastRenderedPageBreak/>
        <w:t>Permeable pavement</w:t>
      </w:r>
      <w:bookmarkEnd w:id="10"/>
    </w:p>
    <w:p w14:paraId="7CE595CD" w14:textId="573E79C7" w:rsidR="00B54EE0" w:rsidRPr="00492095" w:rsidRDefault="00B54EE0" w:rsidP="00DA5AE3">
      <w:pPr>
        <w:pStyle w:val="Normal1"/>
        <w:spacing w:after="120"/>
        <w:rPr>
          <w:rFonts w:ascii="Trebuchet MS" w:hAnsi="Trebuchet MS"/>
          <w:sz w:val="24"/>
        </w:rPr>
      </w:pPr>
      <w:r w:rsidRPr="00492095">
        <w:rPr>
          <w:rFonts w:ascii="Trebuchet MS" w:eastAsia="Cambria" w:hAnsi="Trebuchet MS"/>
          <w:b/>
          <w:sz w:val="24"/>
          <w:highlight w:val="white"/>
        </w:rPr>
        <w:tab/>
      </w:r>
      <w:proofErr w:type="gramStart"/>
      <w:r w:rsidRPr="00492095">
        <w:rPr>
          <w:rFonts w:ascii="Trebuchet MS" w:eastAsia="Cambria" w:hAnsi="Trebuchet MS"/>
          <w:b/>
          <w:sz w:val="24"/>
          <w:highlight w:val="white"/>
        </w:rPr>
        <w:t>a</w:t>
      </w:r>
      <w:proofErr w:type="gramEnd"/>
      <w:r w:rsidRPr="00492095">
        <w:rPr>
          <w:rFonts w:ascii="Trebuchet MS" w:eastAsia="Cambria" w:hAnsi="Trebuchet MS"/>
          <w:b/>
          <w:sz w:val="24"/>
          <w:highlight w:val="white"/>
        </w:rPr>
        <w:t>. initial cost</w:t>
      </w:r>
    </w:p>
    <w:p w14:paraId="0EB0C898" w14:textId="48C6CEDF" w:rsidR="00B54EE0" w:rsidRPr="00492095" w:rsidRDefault="00B54EE0" w:rsidP="00DA5AE3">
      <w:pPr>
        <w:pStyle w:val="Normal1"/>
        <w:spacing w:after="120"/>
        <w:ind w:left="720"/>
        <w:rPr>
          <w:rFonts w:ascii="Trebuchet MS" w:hAnsi="Trebuchet MS"/>
          <w:sz w:val="24"/>
        </w:rPr>
      </w:pPr>
      <w:r w:rsidRPr="00492095">
        <w:rPr>
          <w:rFonts w:ascii="Trebuchet MS" w:eastAsia="Cambria" w:hAnsi="Trebuchet MS"/>
          <w:sz w:val="24"/>
          <w:highlight w:val="white"/>
        </w:rPr>
        <w:t>The city is building permeable pavement installations in locations around the city. One notable example is the corner of Linden Boulevard and 204th Street, where the</w:t>
      </w:r>
      <w:r w:rsidR="00B2084D" w:rsidRPr="00492095">
        <w:rPr>
          <w:rFonts w:ascii="Trebuchet MS" w:eastAsia="Cambria" w:hAnsi="Trebuchet MS"/>
          <w:sz w:val="24"/>
          <w:highlight w:val="white"/>
        </w:rPr>
        <w:t xml:space="preserve"> city’s 4 and 64 bus lines make</w:t>
      </w:r>
      <w:r w:rsidRPr="00492095">
        <w:rPr>
          <w:rFonts w:ascii="Trebuchet MS" w:eastAsia="Cambria" w:hAnsi="Trebuchet MS"/>
          <w:sz w:val="24"/>
          <w:highlight w:val="white"/>
        </w:rPr>
        <w:t xml:space="preserve"> frequent stops. The Transportation Department generated a conceptual cost estimate for a </w:t>
      </w:r>
      <w:r w:rsidR="00ED2256">
        <w:rPr>
          <w:rFonts w:ascii="Trebuchet MS" w:eastAsia="Cambria" w:hAnsi="Trebuchet MS"/>
          <w:sz w:val="24"/>
          <w:highlight w:val="white"/>
        </w:rPr>
        <w:t xml:space="preserve">general </w:t>
      </w:r>
      <w:r w:rsidRPr="00492095">
        <w:rPr>
          <w:rFonts w:ascii="Trebuchet MS" w:eastAsia="Cambria" w:hAnsi="Trebuchet MS"/>
          <w:sz w:val="24"/>
          <w:highlight w:val="white"/>
        </w:rPr>
        <w:t>pavement project using actual cost estimate specifics from</w:t>
      </w:r>
      <w:r w:rsidR="00ED2256">
        <w:rPr>
          <w:rFonts w:ascii="Trebuchet MS" w:eastAsia="Cambria" w:hAnsi="Trebuchet MS"/>
          <w:sz w:val="24"/>
          <w:highlight w:val="white"/>
        </w:rPr>
        <w:t xml:space="preserve"> the </w:t>
      </w:r>
      <w:r w:rsidRPr="00492095">
        <w:rPr>
          <w:rFonts w:ascii="Trebuchet MS" w:eastAsia="Cambria" w:hAnsi="Trebuchet MS"/>
          <w:sz w:val="24"/>
          <w:highlight w:val="white"/>
        </w:rPr>
        <w:t>Linden and 204</w:t>
      </w:r>
      <w:r w:rsidRPr="00492095">
        <w:rPr>
          <w:rFonts w:ascii="Trebuchet MS" w:eastAsia="Cambria" w:hAnsi="Trebuchet MS"/>
          <w:sz w:val="24"/>
          <w:highlight w:val="white"/>
          <w:vertAlign w:val="superscript"/>
        </w:rPr>
        <w:t>th</w:t>
      </w:r>
      <w:r w:rsidR="00ED2256">
        <w:rPr>
          <w:rFonts w:ascii="Trebuchet MS" w:eastAsia="Cambria" w:hAnsi="Trebuchet MS"/>
          <w:sz w:val="24"/>
          <w:highlight w:val="white"/>
        </w:rPr>
        <w:t xml:space="preserve"> project</w:t>
      </w:r>
      <w:r w:rsidRPr="00492095">
        <w:rPr>
          <w:rFonts w:ascii="Trebuchet MS" w:eastAsia="Cambria" w:hAnsi="Trebuchet MS"/>
          <w:sz w:val="24"/>
          <w:highlight w:val="white"/>
        </w:rPr>
        <w:t xml:space="preserve">. </w:t>
      </w:r>
      <w:r w:rsidR="008F4B54">
        <w:rPr>
          <w:rFonts w:ascii="Trebuchet MS" w:eastAsia="Cambria" w:hAnsi="Trebuchet MS"/>
          <w:sz w:val="24"/>
          <w:highlight w:val="white"/>
        </w:rPr>
        <w:t xml:space="preserve">I use that </w:t>
      </w:r>
      <w:r w:rsidR="00ED2256">
        <w:rPr>
          <w:rFonts w:ascii="Trebuchet MS" w:eastAsia="Cambria" w:hAnsi="Trebuchet MS"/>
          <w:sz w:val="24"/>
          <w:highlight w:val="white"/>
        </w:rPr>
        <w:t xml:space="preserve">conceptual </w:t>
      </w:r>
      <w:r w:rsidR="00B2084D" w:rsidRPr="00492095">
        <w:rPr>
          <w:rFonts w:ascii="Trebuchet MS" w:eastAsia="Cambria" w:hAnsi="Trebuchet MS"/>
          <w:sz w:val="24"/>
          <w:highlight w:val="white"/>
        </w:rPr>
        <w:t xml:space="preserve">project </w:t>
      </w:r>
      <w:r w:rsidR="008F4B54">
        <w:rPr>
          <w:rFonts w:ascii="Trebuchet MS" w:eastAsia="Cambria" w:hAnsi="Trebuchet MS"/>
          <w:sz w:val="24"/>
          <w:highlight w:val="white"/>
        </w:rPr>
        <w:t xml:space="preserve">in my analysis. It </w:t>
      </w:r>
      <w:r w:rsidR="00B2084D" w:rsidRPr="00492095">
        <w:rPr>
          <w:rFonts w:ascii="Trebuchet MS" w:eastAsia="Cambria" w:hAnsi="Trebuchet MS"/>
          <w:sz w:val="24"/>
          <w:highlight w:val="white"/>
        </w:rPr>
        <w:t>would cost $</w:t>
      </w:r>
      <w:r w:rsidR="00B329C8" w:rsidRPr="00492095">
        <w:rPr>
          <w:rFonts w:ascii="Trebuchet MS" w:eastAsia="Cambria" w:hAnsi="Trebuchet MS"/>
          <w:sz w:val="24"/>
          <w:highlight w:val="white"/>
        </w:rPr>
        <w:t>72,500</w:t>
      </w:r>
      <w:r w:rsidR="00B2084D" w:rsidRPr="00492095">
        <w:rPr>
          <w:rFonts w:ascii="Trebuchet MS" w:eastAsia="Cambria" w:hAnsi="Trebuchet MS"/>
          <w:sz w:val="24"/>
          <w:highlight w:val="white"/>
        </w:rPr>
        <w:t xml:space="preserve"> up front. </w:t>
      </w:r>
    </w:p>
    <w:p w14:paraId="2F0C3115" w14:textId="77777777" w:rsidR="00B54EE0" w:rsidRPr="00492095" w:rsidRDefault="00B54EE0" w:rsidP="00DA5AE3">
      <w:pPr>
        <w:pStyle w:val="Normal1"/>
        <w:spacing w:after="120"/>
        <w:rPr>
          <w:rFonts w:ascii="Trebuchet MS" w:hAnsi="Trebuchet MS"/>
          <w:sz w:val="24"/>
        </w:rPr>
      </w:pPr>
      <w:r w:rsidRPr="00492095">
        <w:rPr>
          <w:rFonts w:ascii="Trebuchet MS" w:eastAsia="Cambria" w:hAnsi="Trebuchet MS"/>
          <w:b/>
          <w:sz w:val="24"/>
          <w:highlight w:val="white"/>
        </w:rPr>
        <w:tab/>
      </w:r>
      <w:proofErr w:type="gramStart"/>
      <w:r w:rsidRPr="00492095">
        <w:rPr>
          <w:rFonts w:ascii="Trebuchet MS" w:eastAsia="Cambria" w:hAnsi="Trebuchet MS"/>
          <w:b/>
          <w:sz w:val="24"/>
          <w:highlight w:val="white"/>
        </w:rPr>
        <w:t>b</w:t>
      </w:r>
      <w:proofErr w:type="gramEnd"/>
      <w:r w:rsidRPr="00492095">
        <w:rPr>
          <w:rFonts w:ascii="Trebuchet MS" w:eastAsia="Cambria" w:hAnsi="Trebuchet MS"/>
          <w:b/>
          <w:sz w:val="24"/>
          <w:highlight w:val="white"/>
        </w:rPr>
        <w:t>. annual maintenance</w:t>
      </w:r>
    </w:p>
    <w:p w14:paraId="21095B72" w14:textId="13EFFB8E" w:rsidR="008F4B54" w:rsidRDefault="00B54EE0" w:rsidP="00DA5AE3">
      <w:pPr>
        <w:pStyle w:val="Normal1"/>
        <w:spacing w:after="120"/>
        <w:ind w:left="720"/>
        <w:rPr>
          <w:rFonts w:ascii="Trebuchet MS" w:eastAsia="Cambria" w:hAnsi="Trebuchet MS"/>
          <w:sz w:val="24"/>
          <w:highlight w:val="white"/>
        </w:rPr>
      </w:pPr>
      <w:r w:rsidRPr="00492095">
        <w:rPr>
          <w:rFonts w:ascii="Trebuchet MS" w:eastAsia="Cambria" w:hAnsi="Trebuchet MS"/>
          <w:sz w:val="24"/>
          <w:highlight w:val="white"/>
        </w:rPr>
        <w:t>This project assumes permeable pavement would cost $0.40 per squar</w:t>
      </w:r>
      <w:r w:rsidR="00B2084D" w:rsidRPr="00492095">
        <w:rPr>
          <w:rFonts w:ascii="Trebuchet MS" w:eastAsia="Cambria" w:hAnsi="Trebuchet MS"/>
          <w:sz w:val="24"/>
          <w:highlight w:val="white"/>
        </w:rPr>
        <w:t xml:space="preserve">e foot per year to maintain. </w:t>
      </w:r>
      <w:r w:rsidR="00ED2256">
        <w:rPr>
          <w:rFonts w:ascii="Trebuchet MS" w:eastAsia="Cambria" w:hAnsi="Trebuchet MS"/>
          <w:sz w:val="24"/>
          <w:highlight w:val="white"/>
        </w:rPr>
        <w:t>I adapted this</w:t>
      </w:r>
      <w:r w:rsidR="00B2084D" w:rsidRPr="00492095">
        <w:rPr>
          <w:rFonts w:ascii="Trebuchet MS" w:eastAsia="Cambria" w:hAnsi="Trebuchet MS"/>
          <w:sz w:val="24"/>
          <w:highlight w:val="white"/>
        </w:rPr>
        <w:t xml:space="preserve"> estimate </w:t>
      </w:r>
      <w:r w:rsidRPr="00492095">
        <w:rPr>
          <w:rFonts w:ascii="Trebuchet MS" w:eastAsia="Cambria" w:hAnsi="Trebuchet MS"/>
          <w:sz w:val="24"/>
          <w:highlight w:val="white"/>
        </w:rPr>
        <w:t xml:space="preserve">from detailed calculations, kept by </w:t>
      </w:r>
      <w:r w:rsidR="00B2084D" w:rsidRPr="00492095">
        <w:rPr>
          <w:rFonts w:ascii="Trebuchet MS" w:eastAsia="Cambria" w:hAnsi="Trebuchet MS"/>
          <w:sz w:val="24"/>
          <w:highlight w:val="white"/>
        </w:rPr>
        <w:t xml:space="preserve">the </w:t>
      </w:r>
      <w:r w:rsidRPr="00492095">
        <w:rPr>
          <w:rFonts w:ascii="Trebuchet MS" w:eastAsia="Cambria" w:hAnsi="Trebuchet MS"/>
          <w:sz w:val="24"/>
          <w:highlight w:val="white"/>
        </w:rPr>
        <w:t xml:space="preserve">Transportation </w:t>
      </w:r>
      <w:r w:rsidR="00B2084D" w:rsidRPr="00492095">
        <w:rPr>
          <w:rFonts w:ascii="Trebuchet MS" w:eastAsia="Cambria" w:hAnsi="Trebuchet MS"/>
          <w:sz w:val="24"/>
          <w:highlight w:val="white"/>
        </w:rPr>
        <w:t xml:space="preserve">Department </w:t>
      </w:r>
      <w:r w:rsidRPr="00492095">
        <w:rPr>
          <w:rFonts w:ascii="Trebuchet MS" w:eastAsia="Cambria" w:hAnsi="Trebuchet MS"/>
          <w:sz w:val="24"/>
          <w:highlight w:val="white"/>
        </w:rPr>
        <w:t xml:space="preserve">and the </w:t>
      </w:r>
      <w:r w:rsidR="00ED2256">
        <w:rPr>
          <w:rFonts w:ascii="Trebuchet MS" w:eastAsia="Cambria" w:hAnsi="Trebuchet MS"/>
          <w:sz w:val="24"/>
          <w:highlight w:val="white"/>
        </w:rPr>
        <w:t>C</w:t>
      </w:r>
      <w:r w:rsidRPr="00492095">
        <w:rPr>
          <w:rFonts w:ascii="Trebuchet MS" w:eastAsia="Cambria" w:hAnsi="Trebuchet MS"/>
          <w:sz w:val="24"/>
          <w:highlight w:val="white"/>
        </w:rPr>
        <w:t xml:space="preserve">ity’s Office of Management and Budget, of actual road maintenance costs pertaining to traditional, </w:t>
      </w:r>
      <w:proofErr w:type="spellStart"/>
      <w:r w:rsidRPr="00492095">
        <w:rPr>
          <w:rFonts w:ascii="Trebuchet MS" w:eastAsia="Cambria" w:hAnsi="Trebuchet MS"/>
          <w:sz w:val="24"/>
          <w:highlight w:val="white"/>
        </w:rPr>
        <w:t>nonpermeable</w:t>
      </w:r>
      <w:proofErr w:type="spellEnd"/>
      <w:r w:rsidRPr="00492095">
        <w:rPr>
          <w:rFonts w:ascii="Trebuchet MS" w:eastAsia="Cambria" w:hAnsi="Trebuchet MS"/>
          <w:sz w:val="24"/>
          <w:highlight w:val="white"/>
        </w:rPr>
        <w:t xml:space="preserve"> pavement of $0.</w:t>
      </w:r>
      <w:r w:rsidR="00D4760C" w:rsidRPr="00492095">
        <w:rPr>
          <w:rFonts w:ascii="Trebuchet MS" w:eastAsia="Cambria" w:hAnsi="Trebuchet MS"/>
          <w:sz w:val="24"/>
          <w:highlight w:val="white"/>
        </w:rPr>
        <w:t>2</w:t>
      </w:r>
      <w:r w:rsidRPr="00492095">
        <w:rPr>
          <w:rFonts w:ascii="Trebuchet MS" w:eastAsia="Cambria" w:hAnsi="Trebuchet MS"/>
          <w:sz w:val="24"/>
          <w:highlight w:val="white"/>
        </w:rPr>
        <w:t xml:space="preserve">0 per square foot per year. The </w:t>
      </w:r>
      <w:r w:rsidR="00ED2256">
        <w:rPr>
          <w:rFonts w:ascii="Trebuchet MS" w:eastAsia="Cambria" w:hAnsi="Trebuchet MS"/>
          <w:sz w:val="24"/>
          <w:highlight w:val="white"/>
        </w:rPr>
        <w:t>Transportation Department was unsure how much it would cost to maintain permeable pavement installations, and I i</w:t>
      </w:r>
      <w:r w:rsidRPr="00492095">
        <w:rPr>
          <w:rFonts w:ascii="Trebuchet MS" w:eastAsia="Cambria" w:hAnsi="Trebuchet MS"/>
          <w:sz w:val="24"/>
          <w:highlight w:val="white"/>
        </w:rPr>
        <w:t>nterview</w:t>
      </w:r>
      <w:r w:rsidR="00ED2256">
        <w:rPr>
          <w:rFonts w:ascii="Trebuchet MS" w:eastAsia="Cambria" w:hAnsi="Trebuchet MS"/>
          <w:sz w:val="24"/>
          <w:highlight w:val="white"/>
        </w:rPr>
        <w:t>ed</w:t>
      </w:r>
      <w:r w:rsidRPr="00492095">
        <w:rPr>
          <w:rFonts w:ascii="Trebuchet MS" w:eastAsia="Cambria" w:hAnsi="Trebuchet MS"/>
          <w:sz w:val="24"/>
          <w:highlight w:val="white"/>
        </w:rPr>
        <w:t xml:space="preserve"> a </w:t>
      </w:r>
      <w:r w:rsidR="00ED2256">
        <w:rPr>
          <w:rFonts w:ascii="Trebuchet MS" w:eastAsia="Cambria" w:hAnsi="Trebuchet MS"/>
          <w:sz w:val="24"/>
          <w:highlight w:val="white"/>
        </w:rPr>
        <w:t xml:space="preserve">retired </w:t>
      </w:r>
      <w:r w:rsidRPr="00492095">
        <w:rPr>
          <w:rFonts w:ascii="Trebuchet MS" w:eastAsia="Cambria" w:hAnsi="Trebuchet MS"/>
          <w:sz w:val="24"/>
          <w:highlight w:val="white"/>
        </w:rPr>
        <w:t>maintenance official</w:t>
      </w:r>
      <w:r w:rsidR="00ED2256">
        <w:rPr>
          <w:rFonts w:ascii="Trebuchet MS" w:eastAsia="Cambria" w:hAnsi="Trebuchet MS"/>
          <w:sz w:val="24"/>
          <w:highlight w:val="white"/>
        </w:rPr>
        <w:t xml:space="preserve"> from Portland who confirmed the Transportation Department’s suggestion that </w:t>
      </w:r>
      <w:r w:rsidRPr="00492095">
        <w:rPr>
          <w:rFonts w:ascii="Trebuchet MS" w:eastAsia="Cambria" w:hAnsi="Trebuchet MS"/>
          <w:sz w:val="24"/>
          <w:highlight w:val="white"/>
        </w:rPr>
        <w:t xml:space="preserve">permeable pavement </w:t>
      </w:r>
      <w:r w:rsidR="00ED2256">
        <w:rPr>
          <w:rFonts w:ascii="Trebuchet MS" w:eastAsia="Cambria" w:hAnsi="Trebuchet MS"/>
          <w:sz w:val="24"/>
          <w:highlight w:val="white"/>
        </w:rPr>
        <w:t>would</w:t>
      </w:r>
      <w:r w:rsidRPr="00492095">
        <w:rPr>
          <w:rFonts w:ascii="Trebuchet MS" w:eastAsia="Cambria" w:hAnsi="Trebuchet MS"/>
          <w:sz w:val="24"/>
          <w:highlight w:val="white"/>
        </w:rPr>
        <w:t xml:space="preserve"> require more intense maintenance than </w:t>
      </w:r>
      <w:r w:rsidR="00ED2256">
        <w:rPr>
          <w:rFonts w:ascii="Trebuchet MS" w:eastAsia="Cambria" w:hAnsi="Trebuchet MS"/>
          <w:sz w:val="24"/>
          <w:highlight w:val="white"/>
        </w:rPr>
        <w:t>normal, im</w:t>
      </w:r>
      <w:r w:rsidRPr="00492095">
        <w:rPr>
          <w:rFonts w:ascii="Trebuchet MS" w:eastAsia="Cambria" w:hAnsi="Trebuchet MS"/>
          <w:sz w:val="24"/>
          <w:highlight w:val="white"/>
        </w:rPr>
        <w:t>permeable pavement</w:t>
      </w:r>
      <w:r w:rsidR="00ED2256">
        <w:rPr>
          <w:rFonts w:ascii="Trebuchet MS" w:eastAsia="Cambria" w:hAnsi="Trebuchet MS"/>
          <w:sz w:val="24"/>
          <w:highlight w:val="white"/>
        </w:rPr>
        <w:t>. The</w:t>
      </w:r>
      <w:r w:rsidRPr="00492095">
        <w:rPr>
          <w:rFonts w:ascii="Trebuchet MS" w:eastAsia="Cambria" w:hAnsi="Trebuchet MS"/>
          <w:sz w:val="24"/>
          <w:highlight w:val="white"/>
        </w:rPr>
        <w:t xml:space="preserve"> </w:t>
      </w:r>
      <w:r w:rsidR="00ED2256">
        <w:rPr>
          <w:rFonts w:ascii="Trebuchet MS" w:eastAsia="Cambria" w:hAnsi="Trebuchet MS"/>
          <w:sz w:val="24"/>
          <w:highlight w:val="white"/>
        </w:rPr>
        <w:t>C</w:t>
      </w:r>
      <w:r w:rsidRPr="00492095">
        <w:rPr>
          <w:rFonts w:ascii="Trebuchet MS" w:eastAsia="Cambria" w:hAnsi="Trebuchet MS"/>
          <w:sz w:val="24"/>
          <w:highlight w:val="white"/>
        </w:rPr>
        <w:t xml:space="preserve">ity of Portland required the purchase and use of a vacuum truck to ensure its permeable pavement functioned and remained free of moss, which </w:t>
      </w:r>
      <w:r w:rsidR="008F4B54">
        <w:rPr>
          <w:rFonts w:ascii="Trebuchet MS" w:eastAsia="Cambria" w:hAnsi="Trebuchet MS"/>
          <w:sz w:val="24"/>
          <w:highlight w:val="white"/>
        </w:rPr>
        <w:t xml:space="preserve">— </w:t>
      </w:r>
      <w:r w:rsidRPr="00492095">
        <w:rPr>
          <w:rFonts w:ascii="Trebuchet MS" w:eastAsia="Cambria" w:hAnsi="Trebuchet MS"/>
          <w:sz w:val="24"/>
          <w:highlight w:val="white"/>
        </w:rPr>
        <w:t>absent mainte</w:t>
      </w:r>
      <w:r w:rsidR="00B2084D" w:rsidRPr="00492095">
        <w:rPr>
          <w:rFonts w:ascii="Trebuchet MS" w:eastAsia="Cambria" w:hAnsi="Trebuchet MS"/>
          <w:sz w:val="24"/>
          <w:highlight w:val="white"/>
        </w:rPr>
        <w:t xml:space="preserve">nance </w:t>
      </w:r>
      <w:r w:rsidR="008F4B54">
        <w:rPr>
          <w:rFonts w:ascii="Trebuchet MS" w:eastAsia="Cambria" w:hAnsi="Trebuchet MS"/>
          <w:sz w:val="24"/>
          <w:highlight w:val="white"/>
        </w:rPr>
        <w:t xml:space="preserve">— </w:t>
      </w:r>
      <w:r w:rsidR="00B2084D" w:rsidRPr="00492095">
        <w:rPr>
          <w:rFonts w:ascii="Trebuchet MS" w:eastAsia="Cambria" w:hAnsi="Trebuchet MS"/>
          <w:sz w:val="24"/>
          <w:highlight w:val="white"/>
        </w:rPr>
        <w:t>significantly injured efficiency</w:t>
      </w:r>
      <w:r w:rsidRPr="00492095">
        <w:rPr>
          <w:rFonts w:ascii="Trebuchet MS" w:eastAsia="Cambria" w:hAnsi="Trebuchet MS"/>
          <w:sz w:val="24"/>
          <w:highlight w:val="white"/>
        </w:rPr>
        <w:t>.</w:t>
      </w:r>
      <w:r w:rsidRPr="00492095">
        <w:rPr>
          <w:rFonts w:ascii="Trebuchet MS" w:eastAsia="Cambria" w:hAnsi="Trebuchet MS"/>
          <w:sz w:val="24"/>
          <w:highlight w:val="white"/>
          <w:vertAlign w:val="superscript"/>
        </w:rPr>
        <w:footnoteReference w:id="13"/>
      </w:r>
      <w:r w:rsidRPr="00492095">
        <w:rPr>
          <w:rFonts w:ascii="Trebuchet MS" w:eastAsia="Cambria" w:hAnsi="Trebuchet MS"/>
          <w:sz w:val="24"/>
          <w:highlight w:val="white"/>
        </w:rPr>
        <w:t xml:space="preserve"> </w:t>
      </w:r>
    </w:p>
    <w:p w14:paraId="01C3BF82" w14:textId="0A9336B6" w:rsidR="00B54EE0" w:rsidRPr="00492095" w:rsidRDefault="008F4B54" w:rsidP="00DA5AE3">
      <w:pPr>
        <w:pStyle w:val="Normal1"/>
        <w:spacing w:after="120"/>
        <w:ind w:left="720"/>
        <w:rPr>
          <w:rFonts w:ascii="Trebuchet MS" w:hAnsi="Trebuchet MS"/>
          <w:sz w:val="24"/>
        </w:rPr>
      </w:pPr>
      <w:r>
        <w:rPr>
          <w:rFonts w:ascii="Trebuchet MS" w:eastAsia="Cambria" w:hAnsi="Trebuchet MS"/>
          <w:sz w:val="24"/>
          <w:highlight w:val="white"/>
        </w:rPr>
        <w:t>The model</w:t>
      </w:r>
      <w:r w:rsidR="00B54EE0" w:rsidRPr="00492095">
        <w:rPr>
          <w:rFonts w:ascii="Trebuchet MS" w:eastAsia="Cambria" w:hAnsi="Trebuchet MS"/>
          <w:sz w:val="24"/>
          <w:highlight w:val="white"/>
        </w:rPr>
        <w:t xml:space="preserve"> </w:t>
      </w:r>
      <w:r w:rsidR="00ED2256">
        <w:rPr>
          <w:rFonts w:ascii="Trebuchet MS" w:eastAsia="Cambria" w:hAnsi="Trebuchet MS"/>
          <w:sz w:val="24"/>
          <w:highlight w:val="white"/>
        </w:rPr>
        <w:t>assume</w:t>
      </w:r>
      <w:r>
        <w:rPr>
          <w:rFonts w:ascii="Trebuchet MS" w:eastAsia="Cambria" w:hAnsi="Trebuchet MS"/>
          <w:sz w:val="24"/>
          <w:highlight w:val="white"/>
        </w:rPr>
        <w:t>s</w:t>
      </w:r>
      <w:r w:rsidR="00ED2256">
        <w:rPr>
          <w:rFonts w:ascii="Trebuchet MS" w:eastAsia="Cambria" w:hAnsi="Trebuchet MS"/>
          <w:sz w:val="24"/>
          <w:highlight w:val="white"/>
        </w:rPr>
        <w:t xml:space="preserve"> it would cost twice as much to maintain permeable pavement than traditional, impervious pavement. </w:t>
      </w:r>
    </w:p>
    <w:p w14:paraId="4D969FA3" w14:textId="77777777" w:rsidR="00B54EE0" w:rsidRPr="00492095" w:rsidRDefault="00B54EE0" w:rsidP="00DA5AE3">
      <w:pPr>
        <w:pStyle w:val="Normal1"/>
        <w:spacing w:after="120"/>
        <w:rPr>
          <w:rFonts w:ascii="Trebuchet MS" w:hAnsi="Trebuchet MS"/>
          <w:sz w:val="24"/>
        </w:rPr>
      </w:pPr>
      <w:r w:rsidRPr="00492095">
        <w:rPr>
          <w:rFonts w:ascii="Trebuchet MS" w:eastAsia="Cambria" w:hAnsi="Trebuchet MS"/>
          <w:b/>
          <w:sz w:val="24"/>
          <w:highlight w:val="white"/>
        </w:rPr>
        <w:tab/>
      </w:r>
      <w:proofErr w:type="gramStart"/>
      <w:r w:rsidRPr="00492095">
        <w:rPr>
          <w:rFonts w:ascii="Trebuchet MS" w:eastAsia="Cambria" w:hAnsi="Trebuchet MS"/>
          <w:b/>
          <w:sz w:val="24"/>
          <w:highlight w:val="white"/>
        </w:rPr>
        <w:t>c</w:t>
      </w:r>
      <w:proofErr w:type="gramEnd"/>
      <w:r w:rsidRPr="00492095">
        <w:rPr>
          <w:rFonts w:ascii="Trebuchet MS" w:eastAsia="Cambria" w:hAnsi="Trebuchet MS"/>
          <w:b/>
          <w:sz w:val="24"/>
          <w:highlight w:val="white"/>
        </w:rPr>
        <w:t>. reconstruction cost and longevity</w:t>
      </w:r>
    </w:p>
    <w:p w14:paraId="26772003" w14:textId="3E1CA3A1" w:rsidR="00B54EE0" w:rsidRPr="00492095" w:rsidRDefault="008F4B54" w:rsidP="00DA5AE3">
      <w:pPr>
        <w:pStyle w:val="Normal1"/>
        <w:spacing w:after="120"/>
        <w:ind w:left="720"/>
        <w:rPr>
          <w:rFonts w:ascii="Trebuchet MS" w:hAnsi="Trebuchet MS"/>
          <w:sz w:val="24"/>
        </w:rPr>
      </w:pPr>
      <w:r>
        <w:rPr>
          <w:rFonts w:ascii="Trebuchet MS" w:eastAsia="Cambria" w:hAnsi="Trebuchet MS"/>
          <w:sz w:val="24"/>
          <w:highlight w:val="white"/>
        </w:rPr>
        <w:t>I used the Transportation Project’s initial cost estimates to compile a detailed</w:t>
      </w:r>
      <w:r w:rsidR="00B54EE0" w:rsidRPr="00492095">
        <w:rPr>
          <w:rFonts w:ascii="Trebuchet MS" w:eastAsia="Cambria" w:hAnsi="Trebuchet MS"/>
          <w:sz w:val="24"/>
          <w:highlight w:val="white"/>
        </w:rPr>
        <w:t xml:space="preserve"> </w:t>
      </w:r>
      <w:r w:rsidR="00B54EE0" w:rsidRPr="00492095">
        <w:rPr>
          <w:rFonts w:ascii="Trebuchet MS" w:eastAsia="Cambria" w:hAnsi="Trebuchet MS"/>
          <w:i/>
          <w:sz w:val="24"/>
          <w:highlight w:val="white"/>
        </w:rPr>
        <w:t>reconstruction</w:t>
      </w:r>
      <w:r w:rsidR="00B54EE0" w:rsidRPr="00492095">
        <w:rPr>
          <w:rFonts w:ascii="Trebuchet MS" w:eastAsia="Cambria" w:hAnsi="Trebuchet MS"/>
          <w:sz w:val="24"/>
          <w:highlight w:val="white"/>
        </w:rPr>
        <w:t xml:space="preserve"> </w:t>
      </w:r>
      <w:r>
        <w:rPr>
          <w:rFonts w:ascii="Trebuchet MS" w:eastAsia="Cambria" w:hAnsi="Trebuchet MS"/>
          <w:sz w:val="24"/>
          <w:highlight w:val="white"/>
        </w:rPr>
        <w:t xml:space="preserve">cost estimate. </w:t>
      </w:r>
      <w:r w:rsidR="00B54EE0" w:rsidRPr="00492095">
        <w:rPr>
          <w:rFonts w:ascii="Trebuchet MS" w:eastAsia="Cambria" w:hAnsi="Trebuchet MS"/>
          <w:sz w:val="24"/>
          <w:highlight w:val="white"/>
        </w:rPr>
        <w:t xml:space="preserve">The work would essentially redo portions of the initial installation, </w:t>
      </w:r>
      <w:r w:rsidR="00552D1E" w:rsidRPr="00492095">
        <w:rPr>
          <w:rFonts w:ascii="Trebuchet MS" w:eastAsia="Cambria" w:hAnsi="Trebuchet MS"/>
          <w:sz w:val="24"/>
          <w:highlight w:val="white"/>
        </w:rPr>
        <w:t>producing a project cost under $24,000</w:t>
      </w:r>
      <w:r w:rsidR="00B54EE0" w:rsidRPr="00492095">
        <w:rPr>
          <w:rFonts w:ascii="Trebuchet MS" w:eastAsia="Cambria" w:hAnsi="Trebuchet MS"/>
          <w:sz w:val="24"/>
          <w:highlight w:val="white"/>
        </w:rPr>
        <w:t xml:space="preserve">. The manufacturer of </w:t>
      </w:r>
      <w:proofErr w:type="spellStart"/>
      <w:r w:rsidR="00B54EE0" w:rsidRPr="00492095">
        <w:rPr>
          <w:rFonts w:ascii="Trebuchet MS" w:eastAsia="Cambria" w:hAnsi="Trebuchet MS"/>
          <w:sz w:val="24"/>
          <w:highlight w:val="white"/>
        </w:rPr>
        <w:t>StormCrete</w:t>
      </w:r>
      <w:proofErr w:type="spellEnd"/>
      <w:r w:rsidR="00B54EE0" w:rsidRPr="00492095">
        <w:rPr>
          <w:rFonts w:ascii="Trebuchet MS" w:eastAsia="Cambria" w:hAnsi="Trebuchet MS"/>
          <w:sz w:val="24"/>
          <w:highlight w:val="white"/>
        </w:rPr>
        <w:t xml:space="preserve">, a </w:t>
      </w:r>
      <w:r w:rsidR="00B54EE0" w:rsidRPr="00492095">
        <w:rPr>
          <w:rFonts w:ascii="Trebuchet MS" w:eastAsia="Cambria" w:hAnsi="Trebuchet MS"/>
          <w:sz w:val="24"/>
          <w:highlight w:val="white"/>
        </w:rPr>
        <w:lastRenderedPageBreak/>
        <w:t>brand of prefabricated permeable pavement in use in other municipalities, estimates its product would function for 15 years before needing to be replaced. Transportation analysts in two cities were using that longevity estimate in their calculations, and it is adopted here.</w:t>
      </w:r>
    </w:p>
    <w:p w14:paraId="29387408" w14:textId="4B2EC14B" w:rsidR="00D25BDC" w:rsidRPr="00492095" w:rsidRDefault="00D25BDC" w:rsidP="00DA5AE3">
      <w:pPr>
        <w:pStyle w:val="Normal1"/>
        <w:spacing w:after="120"/>
        <w:ind w:firstLine="720"/>
        <w:rPr>
          <w:rFonts w:ascii="Trebuchet MS" w:hAnsi="Trebuchet MS"/>
          <w:sz w:val="24"/>
        </w:rPr>
      </w:pPr>
      <w:proofErr w:type="gramStart"/>
      <w:r w:rsidRPr="00492095">
        <w:rPr>
          <w:rFonts w:ascii="Trebuchet MS" w:eastAsia="Cambria" w:hAnsi="Trebuchet MS"/>
          <w:b/>
          <w:sz w:val="24"/>
          <w:highlight w:val="white"/>
        </w:rPr>
        <w:t>d</w:t>
      </w:r>
      <w:proofErr w:type="gramEnd"/>
      <w:r w:rsidRPr="00492095">
        <w:rPr>
          <w:rFonts w:ascii="Trebuchet MS" w:eastAsia="Cambria" w:hAnsi="Trebuchet MS"/>
          <w:b/>
          <w:sz w:val="24"/>
          <w:highlight w:val="white"/>
        </w:rPr>
        <w:t xml:space="preserve">. </w:t>
      </w:r>
      <w:r w:rsidRPr="00492095">
        <w:rPr>
          <w:rFonts w:ascii="Trebuchet MS" w:eastAsia="Cambria" w:hAnsi="Trebuchet MS"/>
          <w:b/>
          <w:sz w:val="24"/>
        </w:rPr>
        <w:t xml:space="preserve">efficiency </w:t>
      </w:r>
    </w:p>
    <w:p w14:paraId="0FE9D37F" w14:textId="5BD5C668" w:rsidR="00B54EE0" w:rsidRDefault="00B54EE0" w:rsidP="00552D1E">
      <w:pPr>
        <w:pStyle w:val="Normal1"/>
        <w:spacing w:after="120"/>
        <w:ind w:left="720"/>
        <w:rPr>
          <w:rFonts w:ascii="Trebuchet MS" w:eastAsia="Cambria" w:hAnsi="Trebuchet MS"/>
          <w:sz w:val="24"/>
        </w:rPr>
      </w:pPr>
      <w:r w:rsidRPr="00492095">
        <w:rPr>
          <w:rFonts w:ascii="Trebuchet MS" w:eastAsia="Cambria" w:hAnsi="Trebuchet MS"/>
          <w:sz w:val="24"/>
          <w:highlight w:val="white"/>
        </w:rPr>
        <w:t xml:space="preserve">Permeable pavement installations may be more efficient </w:t>
      </w:r>
      <w:r w:rsidR="00ED2256">
        <w:rPr>
          <w:rFonts w:ascii="Trebuchet MS" w:eastAsia="Cambria" w:hAnsi="Trebuchet MS"/>
          <w:sz w:val="24"/>
          <w:highlight w:val="white"/>
        </w:rPr>
        <w:t xml:space="preserve">than </w:t>
      </w:r>
      <w:proofErr w:type="spellStart"/>
      <w:r w:rsidR="00ED2256">
        <w:rPr>
          <w:rFonts w:ascii="Trebuchet MS" w:eastAsia="Cambria" w:hAnsi="Trebuchet MS"/>
          <w:sz w:val="24"/>
          <w:highlight w:val="white"/>
        </w:rPr>
        <w:t>bioswales</w:t>
      </w:r>
      <w:proofErr w:type="spellEnd"/>
      <w:r w:rsidR="00ED2256">
        <w:rPr>
          <w:rFonts w:ascii="Trebuchet MS" w:eastAsia="Cambria" w:hAnsi="Trebuchet MS"/>
          <w:sz w:val="24"/>
          <w:highlight w:val="white"/>
        </w:rPr>
        <w:t xml:space="preserve"> when it comes to capturing water during major storms </w:t>
      </w:r>
      <w:r w:rsidRPr="00492095">
        <w:rPr>
          <w:rFonts w:ascii="Trebuchet MS" w:eastAsia="Cambria" w:hAnsi="Trebuchet MS"/>
          <w:sz w:val="24"/>
          <w:highlight w:val="white"/>
        </w:rPr>
        <w:t xml:space="preserve">— Portland’s installations initially proved capable of capturing water at a rate of 40 inches per hour, a figure that fell to 20 inches per hour after four years due to documented problems </w:t>
      </w:r>
      <w:r w:rsidR="008F4B54">
        <w:rPr>
          <w:rFonts w:ascii="Trebuchet MS" w:eastAsia="Cambria" w:hAnsi="Trebuchet MS"/>
          <w:sz w:val="24"/>
          <w:highlight w:val="white"/>
        </w:rPr>
        <w:t>(</w:t>
      </w:r>
      <w:r w:rsidRPr="00492095">
        <w:rPr>
          <w:rFonts w:ascii="Trebuchet MS" w:eastAsia="Cambria" w:hAnsi="Trebuchet MS"/>
          <w:sz w:val="24"/>
          <w:highlight w:val="white"/>
        </w:rPr>
        <w:t>moss clogging drain holes</w:t>
      </w:r>
      <w:r w:rsidR="008F4B54">
        <w:rPr>
          <w:rFonts w:ascii="Trebuchet MS" w:eastAsia="Cambria" w:hAnsi="Trebuchet MS"/>
          <w:sz w:val="24"/>
          <w:highlight w:val="white"/>
        </w:rPr>
        <w:t>)</w:t>
      </w:r>
      <w:r w:rsidRPr="00492095">
        <w:rPr>
          <w:rFonts w:ascii="Trebuchet MS" w:eastAsia="Cambria" w:hAnsi="Trebuchet MS"/>
          <w:sz w:val="24"/>
          <w:highlight w:val="white"/>
        </w:rPr>
        <w:t xml:space="preserve"> (</w:t>
      </w:r>
      <w:proofErr w:type="spellStart"/>
      <w:r w:rsidRPr="00492095">
        <w:rPr>
          <w:rFonts w:ascii="Trebuchet MS" w:eastAsia="Cambria" w:hAnsi="Trebuchet MS"/>
          <w:sz w:val="24"/>
          <w:highlight w:val="white"/>
        </w:rPr>
        <w:t>Kesterson</w:t>
      </w:r>
      <w:proofErr w:type="spellEnd"/>
      <w:r w:rsidRPr="00492095">
        <w:rPr>
          <w:rFonts w:ascii="Trebuchet MS" w:eastAsia="Cambria" w:hAnsi="Trebuchet MS"/>
          <w:sz w:val="24"/>
          <w:highlight w:val="white"/>
        </w:rPr>
        <w:t xml:space="preserve">, 2013). New York City Transportation </w:t>
      </w:r>
      <w:r w:rsidR="008F4B54">
        <w:rPr>
          <w:rFonts w:ascii="Trebuchet MS" w:eastAsia="Cambria" w:hAnsi="Trebuchet MS"/>
          <w:sz w:val="24"/>
          <w:highlight w:val="white"/>
        </w:rPr>
        <w:t xml:space="preserve">officials </w:t>
      </w:r>
      <w:r w:rsidR="00552D1E" w:rsidRPr="00492095">
        <w:rPr>
          <w:rFonts w:ascii="Trebuchet MS" w:eastAsia="Cambria" w:hAnsi="Trebuchet MS"/>
          <w:sz w:val="24"/>
          <w:highlight w:val="white"/>
        </w:rPr>
        <w:t>are unsure what</w:t>
      </w:r>
      <w:r w:rsidRPr="00492095">
        <w:rPr>
          <w:rFonts w:ascii="Trebuchet MS" w:eastAsia="Cambria" w:hAnsi="Trebuchet MS"/>
          <w:sz w:val="24"/>
          <w:highlight w:val="white"/>
        </w:rPr>
        <w:t xml:space="preserve"> percent</w:t>
      </w:r>
      <w:r w:rsidR="00552D1E" w:rsidRPr="00492095">
        <w:rPr>
          <w:rFonts w:ascii="Trebuchet MS" w:eastAsia="Cambria" w:hAnsi="Trebuchet MS"/>
          <w:sz w:val="24"/>
          <w:highlight w:val="white"/>
        </w:rPr>
        <w:t>age</w:t>
      </w:r>
      <w:r w:rsidRPr="00492095">
        <w:rPr>
          <w:rFonts w:ascii="Trebuchet MS" w:eastAsia="Cambria" w:hAnsi="Trebuchet MS"/>
          <w:sz w:val="24"/>
          <w:highlight w:val="white"/>
        </w:rPr>
        <w:t xml:space="preserve"> of storm</w:t>
      </w:r>
      <w:r w:rsidR="008355C2">
        <w:rPr>
          <w:rFonts w:ascii="Trebuchet MS" w:eastAsia="Cambria" w:hAnsi="Trebuchet MS"/>
          <w:sz w:val="24"/>
          <w:highlight w:val="white"/>
        </w:rPr>
        <w:t xml:space="preserve"> </w:t>
      </w:r>
      <w:r w:rsidRPr="00492095">
        <w:rPr>
          <w:rFonts w:ascii="Trebuchet MS" w:eastAsia="Cambria" w:hAnsi="Trebuchet MS"/>
          <w:sz w:val="24"/>
          <w:highlight w:val="white"/>
        </w:rPr>
        <w:t>water duri</w:t>
      </w:r>
      <w:r w:rsidR="00552D1E" w:rsidRPr="00492095">
        <w:rPr>
          <w:rFonts w:ascii="Trebuchet MS" w:eastAsia="Cambria" w:hAnsi="Trebuchet MS"/>
          <w:sz w:val="24"/>
          <w:highlight w:val="white"/>
        </w:rPr>
        <w:t>ng a typical one-inch rainfall would be captured by the installation described above.</w:t>
      </w:r>
    </w:p>
    <w:p w14:paraId="75E4EEDC" w14:textId="6AAC7025" w:rsidR="008F4B54" w:rsidRDefault="008F4B54" w:rsidP="00552D1E">
      <w:pPr>
        <w:pStyle w:val="Normal1"/>
        <w:spacing w:after="120"/>
        <w:ind w:left="720"/>
        <w:rPr>
          <w:rFonts w:ascii="Trebuchet MS" w:eastAsia="Cambria" w:hAnsi="Trebuchet MS"/>
          <w:sz w:val="24"/>
        </w:rPr>
      </w:pPr>
      <w:r>
        <w:rPr>
          <w:rFonts w:ascii="Trebuchet MS" w:eastAsia="Cambria" w:hAnsi="Trebuchet MS"/>
          <w:sz w:val="24"/>
        </w:rPr>
        <w:t>The model assumes a rate of efficiency of 75 percent during a one-inch rainfall.</w:t>
      </w:r>
    </w:p>
    <w:p w14:paraId="5BB800FC" w14:textId="77777777" w:rsidR="003A0CD0" w:rsidRPr="00492095" w:rsidRDefault="003A0CD0" w:rsidP="00552D1E">
      <w:pPr>
        <w:pStyle w:val="Normal1"/>
        <w:spacing w:after="120"/>
        <w:ind w:left="720"/>
        <w:rPr>
          <w:rFonts w:ascii="Trebuchet MS" w:eastAsia="Cambria" w:hAnsi="Trebuchet MS"/>
          <w:sz w:val="24"/>
        </w:rPr>
      </w:pPr>
    </w:p>
    <w:p w14:paraId="38468D26" w14:textId="2534D05B" w:rsidR="00B54EE0" w:rsidRPr="00492095" w:rsidRDefault="0016071E" w:rsidP="00DA5AE3">
      <w:pPr>
        <w:pStyle w:val="Heading1"/>
        <w:spacing w:before="0" w:after="120" w:line="276" w:lineRule="auto"/>
        <w:rPr>
          <w:rFonts w:ascii="Trebuchet MS" w:hAnsi="Trebuchet MS" w:cs="Arial"/>
        </w:rPr>
      </w:pPr>
      <w:bookmarkStart w:id="11" w:name="_Toc266201046"/>
      <w:r w:rsidRPr="00492095">
        <w:rPr>
          <w:rFonts w:ascii="Trebuchet MS" w:hAnsi="Trebuchet MS" w:cs="Arial"/>
          <w:highlight w:val="white"/>
        </w:rPr>
        <w:t>Findings</w:t>
      </w:r>
      <w:r w:rsidR="00B54EE0" w:rsidRPr="00492095">
        <w:rPr>
          <w:rFonts w:ascii="Trebuchet MS" w:hAnsi="Trebuchet MS" w:cs="Arial"/>
          <w:highlight w:val="white"/>
        </w:rPr>
        <w:t xml:space="preserve"> and sensitivity analysis</w:t>
      </w:r>
      <w:bookmarkEnd w:id="11"/>
    </w:p>
    <w:p w14:paraId="43CBC682" w14:textId="2292CD7A" w:rsidR="0016071E" w:rsidRDefault="0016071E" w:rsidP="00DA5AE3">
      <w:pPr>
        <w:pStyle w:val="Normal1"/>
        <w:spacing w:after="120"/>
        <w:rPr>
          <w:rFonts w:ascii="Trebuchet MS" w:hAnsi="Trebuchet MS"/>
          <w:sz w:val="24"/>
        </w:rPr>
      </w:pPr>
      <w:r w:rsidRPr="00492095">
        <w:rPr>
          <w:rFonts w:ascii="Trebuchet MS" w:hAnsi="Trebuchet MS"/>
          <w:sz w:val="24"/>
        </w:rPr>
        <w:t>These findings</w:t>
      </w:r>
      <w:r w:rsidR="00D25BDC" w:rsidRPr="00492095">
        <w:rPr>
          <w:rFonts w:ascii="Trebuchet MS" w:hAnsi="Trebuchet MS"/>
          <w:sz w:val="24"/>
        </w:rPr>
        <w:t xml:space="preserve"> can be considered a starting point for</w:t>
      </w:r>
      <w:r w:rsidR="00ED2256">
        <w:rPr>
          <w:rFonts w:ascii="Trebuchet MS" w:hAnsi="Trebuchet MS"/>
          <w:sz w:val="24"/>
        </w:rPr>
        <w:t xml:space="preserve"> evaluating</w:t>
      </w:r>
      <w:r w:rsidR="00D25BDC" w:rsidRPr="00492095">
        <w:rPr>
          <w:rFonts w:ascii="Trebuchet MS" w:hAnsi="Trebuchet MS"/>
          <w:sz w:val="24"/>
        </w:rPr>
        <w:t xml:space="preserve"> green</w:t>
      </w:r>
      <w:r w:rsidR="00552D1E" w:rsidRPr="00492095">
        <w:rPr>
          <w:rFonts w:ascii="Trebuchet MS" w:hAnsi="Trebuchet MS"/>
          <w:sz w:val="24"/>
        </w:rPr>
        <w:t xml:space="preserve"> infrastructure alternatives. Th</w:t>
      </w:r>
      <w:r w:rsidR="00CD4F9C">
        <w:rPr>
          <w:rFonts w:ascii="Trebuchet MS" w:hAnsi="Trebuchet MS"/>
          <w:sz w:val="24"/>
        </w:rPr>
        <w:t>e values used for inputs, particularly those specific to maintenance and reconstruction,</w:t>
      </w:r>
      <w:r w:rsidR="00D25BDC" w:rsidRPr="00492095">
        <w:rPr>
          <w:rFonts w:ascii="Trebuchet MS" w:hAnsi="Trebuchet MS"/>
          <w:sz w:val="24"/>
        </w:rPr>
        <w:t xml:space="preserve"> </w:t>
      </w:r>
      <w:r w:rsidR="00ED2256">
        <w:rPr>
          <w:rFonts w:ascii="Trebuchet MS" w:hAnsi="Trebuchet MS"/>
          <w:sz w:val="24"/>
        </w:rPr>
        <w:t>are</w:t>
      </w:r>
      <w:r w:rsidR="00D25BDC" w:rsidRPr="00492095">
        <w:rPr>
          <w:rFonts w:ascii="Trebuchet MS" w:hAnsi="Trebuchet MS"/>
          <w:sz w:val="24"/>
        </w:rPr>
        <w:t xml:space="preserve"> based on limited observational evidence. </w:t>
      </w:r>
      <w:r w:rsidR="00CD4F9C">
        <w:rPr>
          <w:rFonts w:ascii="Trebuchet MS" w:hAnsi="Trebuchet MS"/>
          <w:sz w:val="24"/>
        </w:rPr>
        <w:t xml:space="preserve">The starting point is nonetheless a good one given the presence of detailed and very real data specific to </w:t>
      </w:r>
      <w:r w:rsidR="00CD4F9C">
        <w:rPr>
          <w:rFonts w:ascii="Trebuchet MS" w:hAnsi="Trebuchet MS"/>
          <w:i/>
          <w:sz w:val="24"/>
          <w:u w:val="single"/>
        </w:rPr>
        <w:t>initial</w:t>
      </w:r>
      <w:r w:rsidR="00CD4F9C">
        <w:rPr>
          <w:rFonts w:ascii="Trebuchet MS" w:hAnsi="Trebuchet MS"/>
          <w:sz w:val="24"/>
        </w:rPr>
        <w:t xml:space="preserve"> costs, which account for the majority of total costs. </w:t>
      </w:r>
      <w:r w:rsidR="00D25BDC" w:rsidRPr="00492095">
        <w:rPr>
          <w:rFonts w:ascii="Trebuchet MS" w:hAnsi="Trebuchet MS"/>
          <w:sz w:val="24"/>
        </w:rPr>
        <w:t>The model, using the inputs described above, suggest</w:t>
      </w:r>
      <w:r w:rsidR="00ED2256">
        <w:rPr>
          <w:rFonts w:ascii="Trebuchet MS" w:hAnsi="Trebuchet MS"/>
          <w:sz w:val="24"/>
        </w:rPr>
        <w:t>s</w:t>
      </w:r>
      <w:r w:rsidR="00D25BDC" w:rsidRPr="00492095">
        <w:rPr>
          <w:rFonts w:ascii="Trebuchet MS" w:hAnsi="Trebuchet MS"/>
          <w:sz w:val="24"/>
        </w:rPr>
        <w:t xml:space="preserve"> a typical </w:t>
      </w:r>
      <w:proofErr w:type="spellStart"/>
      <w:r w:rsidR="00D25BDC" w:rsidRPr="00492095">
        <w:rPr>
          <w:rFonts w:ascii="Trebuchet MS" w:hAnsi="Trebuchet MS"/>
          <w:sz w:val="24"/>
        </w:rPr>
        <w:t>bioswale</w:t>
      </w:r>
      <w:proofErr w:type="spellEnd"/>
      <w:r w:rsidR="00D25BDC" w:rsidRPr="00492095">
        <w:rPr>
          <w:rFonts w:ascii="Trebuchet MS" w:hAnsi="Trebuchet MS"/>
          <w:sz w:val="24"/>
        </w:rPr>
        <w:t xml:space="preserve"> would cost less over 30 years than would a simila</w:t>
      </w:r>
      <w:r w:rsidRPr="00492095">
        <w:rPr>
          <w:rFonts w:ascii="Trebuchet MS" w:hAnsi="Trebuchet MS"/>
          <w:sz w:val="24"/>
        </w:rPr>
        <w:t>rly</w:t>
      </w:r>
      <w:r w:rsidR="00ED2256">
        <w:rPr>
          <w:rFonts w:ascii="Trebuchet MS" w:hAnsi="Trebuchet MS"/>
          <w:sz w:val="24"/>
        </w:rPr>
        <w:t>-</w:t>
      </w:r>
      <w:r w:rsidR="00D25BDC" w:rsidRPr="00492095">
        <w:rPr>
          <w:rFonts w:ascii="Trebuchet MS" w:hAnsi="Trebuchet MS"/>
          <w:sz w:val="24"/>
        </w:rPr>
        <w:t>sized permeable pavement project</w:t>
      </w:r>
      <w:r w:rsidR="00CD4F9C">
        <w:rPr>
          <w:rFonts w:ascii="Trebuchet MS" w:hAnsi="Trebuchet MS"/>
          <w:sz w:val="24"/>
        </w:rPr>
        <w:t>; i</w:t>
      </w:r>
      <w:r w:rsidR="00D25BDC" w:rsidRPr="00492095">
        <w:rPr>
          <w:rFonts w:ascii="Trebuchet MS" w:hAnsi="Trebuchet MS"/>
          <w:sz w:val="24"/>
        </w:rPr>
        <w:t xml:space="preserve">t also suggests, however, that </w:t>
      </w:r>
      <w:r w:rsidR="003A0CD0">
        <w:rPr>
          <w:rFonts w:ascii="Trebuchet MS" w:hAnsi="Trebuchet MS"/>
          <w:sz w:val="24"/>
        </w:rPr>
        <w:t>a</w:t>
      </w:r>
      <w:r w:rsidR="00D25BDC" w:rsidRPr="00492095">
        <w:rPr>
          <w:rFonts w:ascii="Trebuchet MS" w:hAnsi="Trebuchet MS"/>
          <w:sz w:val="24"/>
        </w:rPr>
        <w:t xml:space="preserve"> pavement project’s superior efficiency at capturing storm water during larger rain events </w:t>
      </w:r>
      <w:r w:rsidR="00552D1E" w:rsidRPr="00492095">
        <w:rPr>
          <w:rFonts w:ascii="Trebuchet MS" w:hAnsi="Trebuchet MS"/>
          <w:sz w:val="24"/>
        </w:rPr>
        <w:t xml:space="preserve">may </w:t>
      </w:r>
      <w:r w:rsidR="00D25BDC" w:rsidRPr="00492095">
        <w:rPr>
          <w:rFonts w:ascii="Trebuchet MS" w:hAnsi="Trebuchet MS"/>
          <w:sz w:val="24"/>
        </w:rPr>
        <w:t xml:space="preserve">make </w:t>
      </w:r>
      <w:r w:rsidR="000C4CB0" w:rsidRPr="00492095">
        <w:rPr>
          <w:rFonts w:ascii="Trebuchet MS" w:hAnsi="Trebuchet MS"/>
          <w:sz w:val="24"/>
        </w:rPr>
        <w:t xml:space="preserve">it more cost-effective </w:t>
      </w:r>
      <w:r w:rsidR="00CD4F9C">
        <w:rPr>
          <w:rFonts w:ascii="Trebuchet MS" w:hAnsi="Trebuchet MS"/>
          <w:sz w:val="24"/>
        </w:rPr>
        <w:t xml:space="preserve">— and thus less expensive, when everything is accounted for — </w:t>
      </w:r>
      <w:r w:rsidR="000C4CB0" w:rsidRPr="00492095">
        <w:rPr>
          <w:rFonts w:ascii="Trebuchet MS" w:hAnsi="Trebuchet MS"/>
          <w:sz w:val="24"/>
        </w:rPr>
        <w:t xml:space="preserve">than </w:t>
      </w:r>
      <w:r w:rsidR="003A0CD0">
        <w:rPr>
          <w:rFonts w:ascii="Trebuchet MS" w:hAnsi="Trebuchet MS"/>
          <w:sz w:val="24"/>
        </w:rPr>
        <w:t>a</w:t>
      </w:r>
      <w:r w:rsidR="000C4CB0" w:rsidRPr="00492095">
        <w:rPr>
          <w:rFonts w:ascii="Trebuchet MS" w:hAnsi="Trebuchet MS"/>
          <w:sz w:val="24"/>
        </w:rPr>
        <w:t xml:space="preserve"> </w:t>
      </w:r>
      <w:proofErr w:type="spellStart"/>
      <w:r w:rsidR="000C4CB0" w:rsidRPr="00492095">
        <w:rPr>
          <w:rFonts w:ascii="Trebuchet MS" w:hAnsi="Trebuchet MS"/>
          <w:sz w:val="24"/>
        </w:rPr>
        <w:t>bioswale</w:t>
      </w:r>
      <w:proofErr w:type="spellEnd"/>
      <w:r w:rsidR="003A0CD0">
        <w:rPr>
          <w:rFonts w:ascii="Trebuchet MS" w:hAnsi="Trebuchet MS"/>
          <w:sz w:val="24"/>
        </w:rPr>
        <w:t xml:space="preserve"> at the same site.</w:t>
      </w:r>
    </w:p>
    <w:p w14:paraId="63555558" w14:textId="77777777" w:rsidR="003A0CD0" w:rsidRPr="00492095" w:rsidRDefault="003A0CD0" w:rsidP="00DA5AE3">
      <w:pPr>
        <w:pStyle w:val="Normal1"/>
        <w:spacing w:after="120"/>
        <w:rPr>
          <w:rFonts w:ascii="Trebuchet MS" w:hAnsi="Trebuchet MS"/>
          <w:sz w:val="24"/>
        </w:rPr>
      </w:pPr>
    </w:p>
    <w:p w14:paraId="26614963" w14:textId="77777777" w:rsidR="00B54EE0" w:rsidRPr="00492095" w:rsidRDefault="00B54EE0" w:rsidP="00DA5AE3">
      <w:pPr>
        <w:pStyle w:val="Heading1"/>
        <w:spacing w:before="0" w:after="120" w:line="276" w:lineRule="auto"/>
        <w:rPr>
          <w:rFonts w:ascii="Trebuchet MS" w:hAnsi="Trebuchet MS" w:cs="Arial"/>
        </w:rPr>
      </w:pPr>
      <w:bookmarkStart w:id="12" w:name="_Toc266201047"/>
      <w:r w:rsidRPr="00492095">
        <w:rPr>
          <w:rFonts w:ascii="Trebuchet MS" w:hAnsi="Trebuchet MS" w:cs="Arial"/>
          <w:highlight w:val="white"/>
        </w:rPr>
        <w:t>Limitations</w:t>
      </w:r>
      <w:bookmarkEnd w:id="12"/>
    </w:p>
    <w:p w14:paraId="2F88DDDC" w14:textId="0B0AC81A" w:rsidR="003A0CD0" w:rsidRDefault="00B54EE0" w:rsidP="00DA5AE3">
      <w:pPr>
        <w:pStyle w:val="Normal1"/>
        <w:spacing w:after="120"/>
        <w:rPr>
          <w:rFonts w:ascii="Trebuchet MS" w:eastAsia="Cambria" w:hAnsi="Trebuchet MS"/>
          <w:sz w:val="24"/>
          <w:highlight w:val="white"/>
        </w:rPr>
      </w:pPr>
      <w:r w:rsidRPr="00492095">
        <w:rPr>
          <w:rFonts w:ascii="Trebuchet MS" w:eastAsia="Cambria" w:hAnsi="Trebuchet MS"/>
          <w:sz w:val="24"/>
          <w:highlight w:val="white"/>
        </w:rPr>
        <w:t xml:space="preserve">There are external benefits and costs of each project not discussed here. One of the biggest, if not </w:t>
      </w:r>
      <w:r w:rsidRPr="00492095">
        <w:rPr>
          <w:rFonts w:ascii="Trebuchet MS" w:eastAsia="Cambria" w:hAnsi="Trebuchet MS"/>
          <w:i/>
          <w:sz w:val="24"/>
          <w:highlight w:val="white"/>
          <w:u w:val="single"/>
        </w:rPr>
        <w:t>the</w:t>
      </w:r>
      <w:r w:rsidR="00552D1E" w:rsidRPr="00492095">
        <w:rPr>
          <w:rFonts w:ascii="Trebuchet MS" w:eastAsia="Cambria" w:hAnsi="Trebuchet MS"/>
          <w:sz w:val="24"/>
          <w:highlight w:val="white"/>
        </w:rPr>
        <w:t xml:space="preserve"> biggest, is</w:t>
      </w:r>
      <w:r w:rsidRPr="00492095">
        <w:rPr>
          <w:rFonts w:ascii="Trebuchet MS" w:eastAsia="Cambria" w:hAnsi="Trebuchet MS"/>
          <w:sz w:val="24"/>
          <w:highlight w:val="white"/>
        </w:rPr>
        <w:t xml:space="preserve"> the aesthetic and environmental benefit </w:t>
      </w:r>
      <w:r w:rsidR="00CD4F9C">
        <w:rPr>
          <w:rFonts w:ascii="Trebuchet MS" w:eastAsia="Cambria" w:hAnsi="Trebuchet MS"/>
          <w:sz w:val="24"/>
          <w:highlight w:val="white"/>
        </w:rPr>
        <w:t xml:space="preserve">offered by </w:t>
      </w:r>
      <w:proofErr w:type="spellStart"/>
      <w:r w:rsidRPr="00492095">
        <w:rPr>
          <w:rFonts w:ascii="Trebuchet MS" w:eastAsia="Cambria" w:hAnsi="Trebuchet MS"/>
          <w:sz w:val="24"/>
          <w:highlight w:val="white"/>
        </w:rPr>
        <w:t>bioswales</w:t>
      </w:r>
      <w:proofErr w:type="spellEnd"/>
      <w:r w:rsidRPr="00492095">
        <w:rPr>
          <w:rFonts w:ascii="Trebuchet MS" w:eastAsia="Cambria" w:hAnsi="Trebuchet MS"/>
          <w:sz w:val="24"/>
          <w:highlight w:val="white"/>
        </w:rPr>
        <w:t>. These benefit</w:t>
      </w:r>
      <w:r w:rsidR="00552D1E" w:rsidRPr="00492095">
        <w:rPr>
          <w:rFonts w:ascii="Trebuchet MS" w:eastAsia="Cambria" w:hAnsi="Trebuchet MS"/>
          <w:sz w:val="24"/>
          <w:highlight w:val="white"/>
        </w:rPr>
        <w:t>s can be investigated and monetized with software such as</w:t>
      </w:r>
      <w:r w:rsidRPr="00492095">
        <w:rPr>
          <w:rFonts w:ascii="Trebuchet MS" w:eastAsia="Cambria" w:hAnsi="Trebuchet MS"/>
          <w:sz w:val="24"/>
          <w:highlight w:val="white"/>
        </w:rPr>
        <w:t xml:space="preserve"> the </w:t>
      </w:r>
      <w:proofErr w:type="spellStart"/>
      <w:r w:rsidRPr="00492095">
        <w:rPr>
          <w:rFonts w:ascii="Trebuchet MS" w:eastAsia="Cambria" w:hAnsi="Trebuchet MS"/>
          <w:sz w:val="24"/>
          <w:highlight w:val="white"/>
        </w:rPr>
        <w:t>iTree</w:t>
      </w:r>
      <w:proofErr w:type="spellEnd"/>
      <w:r w:rsidRPr="00492095">
        <w:rPr>
          <w:rFonts w:ascii="Trebuchet MS" w:eastAsia="Cambria" w:hAnsi="Trebuchet MS"/>
          <w:sz w:val="24"/>
          <w:highlight w:val="white"/>
        </w:rPr>
        <w:t xml:space="preserve"> program.</w:t>
      </w:r>
      <w:r w:rsidR="00CD4F9C">
        <w:rPr>
          <w:rStyle w:val="FootnoteReference"/>
          <w:rFonts w:ascii="Trebuchet MS" w:eastAsia="Cambria" w:hAnsi="Trebuchet MS"/>
          <w:sz w:val="24"/>
          <w:highlight w:val="white"/>
        </w:rPr>
        <w:footnoteReference w:id="14"/>
      </w:r>
    </w:p>
    <w:p w14:paraId="363F9805" w14:textId="77777777" w:rsidR="003A0CD0" w:rsidRDefault="003A0CD0" w:rsidP="00DA5AE3">
      <w:pPr>
        <w:pStyle w:val="Normal1"/>
        <w:spacing w:after="120"/>
        <w:rPr>
          <w:rFonts w:ascii="Trebuchet MS" w:eastAsia="Cambria" w:hAnsi="Trebuchet MS"/>
          <w:sz w:val="24"/>
        </w:rPr>
      </w:pPr>
      <w:r>
        <w:rPr>
          <w:rFonts w:ascii="Trebuchet MS" w:eastAsia="Cambria" w:hAnsi="Trebuchet MS"/>
          <w:sz w:val="24"/>
        </w:rPr>
        <w:t xml:space="preserve">The model also limits analysis to that of a fixed storm event — a one-inch rainfall. A more dynamic approach would account for storm variability, and would thus account </w:t>
      </w:r>
      <w:r>
        <w:rPr>
          <w:rFonts w:ascii="Trebuchet MS" w:eastAsia="Cambria" w:hAnsi="Trebuchet MS"/>
          <w:sz w:val="24"/>
        </w:rPr>
        <w:lastRenderedPageBreak/>
        <w:t xml:space="preserve">for the fact </w:t>
      </w:r>
      <w:proofErr w:type="gramStart"/>
      <w:r>
        <w:rPr>
          <w:rFonts w:ascii="Trebuchet MS" w:eastAsia="Cambria" w:hAnsi="Trebuchet MS"/>
          <w:sz w:val="24"/>
        </w:rPr>
        <w:t>that installations</w:t>
      </w:r>
      <w:proofErr w:type="gramEnd"/>
      <w:r>
        <w:rPr>
          <w:rFonts w:ascii="Trebuchet MS" w:eastAsia="Cambria" w:hAnsi="Trebuchet MS"/>
          <w:sz w:val="24"/>
        </w:rPr>
        <w:t>’ efficiency variables with storms’ degree of strength. A step along those lines is explained in the ‘Recommendations’ section before.</w:t>
      </w:r>
    </w:p>
    <w:p w14:paraId="7139243A" w14:textId="37AB3455" w:rsidR="00B54EE0" w:rsidRPr="00492095" w:rsidRDefault="003A0CD0" w:rsidP="00DA5AE3">
      <w:pPr>
        <w:pStyle w:val="Normal1"/>
        <w:spacing w:after="120"/>
        <w:rPr>
          <w:rFonts w:ascii="Trebuchet MS" w:eastAsia="Cambria" w:hAnsi="Trebuchet MS"/>
          <w:sz w:val="24"/>
        </w:rPr>
      </w:pPr>
      <w:r>
        <w:rPr>
          <w:rFonts w:ascii="Trebuchet MS" w:eastAsia="Cambria" w:hAnsi="Trebuchet MS"/>
          <w:sz w:val="24"/>
        </w:rPr>
        <w:t xml:space="preserve"> </w:t>
      </w:r>
    </w:p>
    <w:p w14:paraId="382FC5DF" w14:textId="77777777" w:rsidR="00B54EE0" w:rsidRPr="00492095" w:rsidRDefault="00B54EE0" w:rsidP="00DA5AE3">
      <w:pPr>
        <w:pStyle w:val="Heading1"/>
        <w:spacing w:before="0" w:after="120" w:line="276" w:lineRule="auto"/>
        <w:rPr>
          <w:rFonts w:ascii="Trebuchet MS" w:hAnsi="Trebuchet MS" w:cs="Arial"/>
          <w:highlight w:val="white"/>
        </w:rPr>
      </w:pPr>
      <w:bookmarkStart w:id="13" w:name="_Toc266201048"/>
      <w:r w:rsidRPr="00492095">
        <w:rPr>
          <w:rFonts w:ascii="Trebuchet MS" w:hAnsi="Trebuchet MS" w:cs="Arial"/>
          <w:highlight w:val="white"/>
        </w:rPr>
        <w:t>Recommendations for agencies, policy makers</w:t>
      </w:r>
      <w:bookmarkEnd w:id="13"/>
    </w:p>
    <w:p w14:paraId="46337FC1" w14:textId="47372A5E" w:rsidR="003D7214" w:rsidRDefault="003D7214" w:rsidP="003D7214">
      <w:pPr>
        <w:pStyle w:val="Normal1"/>
        <w:spacing w:after="120"/>
        <w:rPr>
          <w:rFonts w:ascii="Trebuchet MS" w:eastAsia="Cambria" w:hAnsi="Trebuchet MS"/>
          <w:sz w:val="24"/>
        </w:rPr>
      </w:pPr>
      <w:r>
        <w:rPr>
          <w:rFonts w:ascii="Trebuchet MS" w:eastAsia="Cambria" w:hAnsi="Trebuchet MS"/>
          <w:sz w:val="24"/>
        </w:rPr>
        <w:t>I recommend three steps aimed at helping the City re</w:t>
      </w:r>
      <w:r w:rsidR="003A0CD0">
        <w:rPr>
          <w:rFonts w:ascii="Trebuchet MS" w:eastAsia="Cambria" w:hAnsi="Trebuchet MS"/>
          <w:sz w:val="24"/>
        </w:rPr>
        <w:t xml:space="preserve">ach the most </w:t>
      </w:r>
      <w:r>
        <w:rPr>
          <w:rFonts w:ascii="Trebuchet MS" w:eastAsia="Cambria" w:hAnsi="Trebuchet MS"/>
          <w:sz w:val="24"/>
        </w:rPr>
        <w:t>effective green infrastructure policy possible.</w:t>
      </w:r>
    </w:p>
    <w:p w14:paraId="43896F32" w14:textId="462B76B4" w:rsidR="003D7214" w:rsidRPr="00DF15D0" w:rsidRDefault="003D7214" w:rsidP="003D7214">
      <w:pPr>
        <w:pStyle w:val="Normal1"/>
        <w:spacing w:after="120"/>
        <w:rPr>
          <w:rFonts w:ascii="Trebuchet MS" w:eastAsia="Cambria" w:hAnsi="Trebuchet MS"/>
          <w:sz w:val="24"/>
        </w:rPr>
      </w:pPr>
      <w:r>
        <w:rPr>
          <w:rFonts w:ascii="Trebuchet MS" w:eastAsia="Cambria" w:hAnsi="Trebuchet MS"/>
          <w:sz w:val="24"/>
        </w:rPr>
        <w:t xml:space="preserve">First, the City should account for major external benefits when </w:t>
      </w:r>
      <w:r w:rsidR="003A0CD0">
        <w:rPr>
          <w:rFonts w:ascii="Trebuchet MS" w:eastAsia="Cambria" w:hAnsi="Trebuchet MS"/>
          <w:sz w:val="24"/>
        </w:rPr>
        <w:t xml:space="preserve">evaluating </w:t>
      </w:r>
      <w:r>
        <w:rPr>
          <w:rFonts w:ascii="Trebuchet MS" w:eastAsia="Cambria" w:hAnsi="Trebuchet MS"/>
          <w:sz w:val="24"/>
        </w:rPr>
        <w:t>alternatives. These will not have a major impact on the alternatives’ respective bottom line, but accounting for them will significantly improve buy-in and interest in the evaluation process. The type of software identified in the ‘Limitations’ section above should m</w:t>
      </w:r>
      <w:r w:rsidR="003A0CD0">
        <w:rPr>
          <w:rFonts w:ascii="Trebuchet MS" w:eastAsia="Cambria" w:hAnsi="Trebuchet MS"/>
          <w:sz w:val="24"/>
        </w:rPr>
        <w:t>ake this step quite manageable.</w:t>
      </w:r>
    </w:p>
    <w:p w14:paraId="6DF00F57" w14:textId="564CFE70" w:rsidR="003A0CD0" w:rsidRDefault="003D7214" w:rsidP="00552D1E">
      <w:pPr>
        <w:pStyle w:val="Normal1"/>
        <w:spacing w:after="120"/>
        <w:rPr>
          <w:rFonts w:ascii="Trebuchet MS" w:eastAsia="Cambria" w:hAnsi="Trebuchet MS"/>
          <w:sz w:val="24"/>
        </w:rPr>
      </w:pPr>
      <w:r>
        <w:rPr>
          <w:rFonts w:ascii="Trebuchet MS" w:eastAsia="Cambria" w:hAnsi="Trebuchet MS"/>
          <w:sz w:val="24"/>
          <w:highlight w:val="white"/>
        </w:rPr>
        <w:t>Second, analysts</w:t>
      </w:r>
      <w:r>
        <w:rPr>
          <w:rFonts w:ascii="Trebuchet MS" w:eastAsia="Cambria" w:hAnsi="Trebuchet MS"/>
          <w:sz w:val="24"/>
        </w:rPr>
        <w:t xml:space="preserve"> should take </w:t>
      </w:r>
      <w:r w:rsidR="003A0CD0">
        <w:rPr>
          <w:rFonts w:ascii="Trebuchet MS" w:eastAsia="Cambria" w:hAnsi="Trebuchet MS"/>
          <w:sz w:val="24"/>
        </w:rPr>
        <w:t xml:space="preserve">the logical </w:t>
      </w:r>
      <w:r w:rsidR="002A4899">
        <w:rPr>
          <w:rFonts w:ascii="Trebuchet MS" w:eastAsia="Cambria" w:hAnsi="Trebuchet MS"/>
          <w:sz w:val="24"/>
        </w:rPr>
        <w:t>step of incorporating historical weather data into the model. Environmental P</w:t>
      </w:r>
      <w:r>
        <w:rPr>
          <w:rFonts w:ascii="Trebuchet MS" w:eastAsia="Cambria" w:hAnsi="Trebuchet MS"/>
          <w:sz w:val="24"/>
        </w:rPr>
        <w:t xml:space="preserve">rotection declined to give the author </w:t>
      </w:r>
      <w:r w:rsidR="003A0CD0">
        <w:rPr>
          <w:rFonts w:ascii="Trebuchet MS" w:eastAsia="Cambria" w:hAnsi="Trebuchet MS"/>
          <w:sz w:val="24"/>
        </w:rPr>
        <w:t>raw data from</w:t>
      </w:r>
      <w:r w:rsidR="002A4899">
        <w:rPr>
          <w:rFonts w:ascii="Trebuchet MS" w:eastAsia="Cambria" w:hAnsi="Trebuchet MS"/>
          <w:sz w:val="24"/>
        </w:rPr>
        <w:t xml:space="preserve"> </w:t>
      </w:r>
      <w:r w:rsidR="003A0CD0">
        <w:rPr>
          <w:rFonts w:ascii="Trebuchet MS" w:eastAsia="Cambria" w:hAnsi="Trebuchet MS"/>
          <w:sz w:val="24"/>
        </w:rPr>
        <w:t xml:space="preserve">a </w:t>
      </w:r>
      <w:proofErr w:type="spellStart"/>
      <w:r w:rsidR="003A0CD0">
        <w:rPr>
          <w:rFonts w:ascii="Trebuchet MS" w:eastAsia="Cambria" w:hAnsi="Trebuchet MS"/>
          <w:sz w:val="24"/>
        </w:rPr>
        <w:t>bioswale</w:t>
      </w:r>
      <w:proofErr w:type="spellEnd"/>
      <w:r w:rsidR="003A0CD0">
        <w:rPr>
          <w:rFonts w:ascii="Trebuchet MS" w:eastAsia="Cambria" w:hAnsi="Trebuchet MS"/>
          <w:sz w:val="24"/>
        </w:rPr>
        <w:t xml:space="preserve"> </w:t>
      </w:r>
      <w:r w:rsidR="002A4899">
        <w:rPr>
          <w:rFonts w:ascii="Trebuchet MS" w:eastAsia="Cambria" w:hAnsi="Trebuchet MS"/>
          <w:sz w:val="24"/>
        </w:rPr>
        <w:t>monitor</w:t>
      </w:r>
      <w:r w:rsidR="003A0CD0">
        <w:rPr>
          <w:rFonts w:ascii="Trebuchet MS" w:eastAsia="Cambria" w:hAnsi="Trebuchet MS"/>
          <w:sz w:val="24"/>
        </w:rPr>
        <w:t>ing project</w:t>
      </w:r>
      <w:r w:rsidR="002A4899">
        <w:rPr>
          <w:rFonts w:ascii="Trebuchet MS" w:eastAsia="Cambria" w:hAnsi="Trebuchet MS"/>
          <w:sz w:val="24"/>
        </w:rPr>
        <w:t>, but the writ</w:t>
      </w:r>
      <w:r w:rsidR="003A0CD0">
        <w:rPr>
          <w:rFonts w:ascii="Trebuchet MS" w:eastAsia="Cambria" w:hAnsi="Trebuchet MS"/>
          <w:sz w:val="24"/>
        </w:rPr>
        <w:t xml:space="preserve">ten report from that </w:t>
      </w:r>
      <w:r>
        <w:rPr>
          <w:rFonts w:ascii="Trebuchet MS" w:eastAsia="Cambria" w:hAnsi="Trebuchet MS"/>
          <w:sz w:val="24"/>
        </w:rPr>
        <w:t xml:space="preserve">project </w:t>
      </w:r>
      <w:r w:rsidR="003A0CD0">
        <w:rPr>
          <w:rFonts w:ascii="Trebuchet MS" w:eastAsia="Cambria" w:hAnsi="Trebuchet MS"/>
          <w:sz w:val="24"/>
        </w:rPr>
        <w:t>clearly indicates</w:t>
      </w:r>
      <w:r w:rsidR="002A4899">
        <w:rPr>
          <w:rFonts w:ascii="Trebuchet MS" w:eastAsia="Cambria" w:hAnsi="Trebuchet MS"/>
          <w:sz w:val="24"/>
        </w:rPr>
        <w:t xml:space="preserve"> </w:t>
      </w:r>
      <w:r w:rsidR="003A0CD0">
        <w:rPr>
          <w:rFonts w:ascii="Trebuchet MS" w:eastAsia="Cambria" w:hAnsi="Trebuchet MS"/>
          <w:sz w:val="24"/>
        </w:rPr>
        <w:t xml:space="preserve">that </w:t>
      </w:r>
      <w:r>
        <w:rPr>
          <w:rFonts w:ascii="Trebuchet MS" w:eastAsia="Cambria" w:hAnsi="Trebuchet MS"/>
          <w:sz w:val="24"/>
        </w:rPr>
        <w:t>the</w:t>
      </w:r>
      <w:r w:rsidR="002A4899">
        <w:rPr>
          <w:rFonts w:ascii="Trebuchet MS" w:eastAsia="Cambria" w:hAnsi="Trebuchet MS"/>
          <w:sz w:val="24"/>
        </w:rPr>
        <w:t xml:space="preserve"> typical </w:t>
      </w:r>
      <w:proofErr w:type="spellStart"/>
      <w:r w:rsidR="002A4899">
        <w:rPr>
          <w:rFonts w:ascii="Trebuchet MS" w:eastAsia="Cambria" w:hAnsi="Trebuchet MS"/>
          <w:sz w:val="24"/>
        </w:rPr>
        <w:t>bioswale’s</w:t>
      </w:r>
      <w:proofErr w:type="spellEnd"/>
      <w:r w:rsidR="002A4899">
        <w:rPr>
          <w:rFonts w:ascii="Trebuchet MS" w:eastAsia="Cambria" w:hAnsi="Trebuchet MS"/>
          <w:sz w:val="24"/>
        </w:rPr>
        <w:t xml:space="preserve"> efficiency varies markedly with the </w:t>
      </w:r>
      <w:r w:rsidR="003A0CD0">
        <w:rPr>
          <w:rFonts w:ascii="Trebuchet MS" w:eastAsia="Cambria" w:hAnsi="Trebuchet MS"/>
          <w:sz w:val="24"/>
        </w:rPr>
        <w:t>size of a given storm: t</w:t>
      </w:r>
      <w:r>
        <w:rPr>
          <w:rFonts w:ascii="Trebuchet MS" w:eastAsia="Cambria" w:hAnsi="Trebuchet MS"/>
          <w:sz w:val="24"/>
        </w:rPr>
        <w:t xml:space="preserve">he more </w:t>
      </w:r>
      <w:r w:rsidR="003A0CD0">
        <w:rPr>
          <w:rFonts w:ascii="Trebuchet MS" w:eastAsia="Cambria" w:hAnsi="Trebuchet MS"/>
          <w:sz w:val="24"/>
        </w:rPr>
        <w:t>rain</w:t>
      </w:r>
      <w:r>
        <w:rPr>
          <w:rFonts w:ascii="Trebuchet MS" w:eastAsia="Cambria" w:hAnsi="Trebuchet MS"/>
          <w:sz w:val="24"/>
        </w:rPr>
        <w:t xml:space="preserve">water is introduced, the more </w:t>
      </w:r>
      <w:r w:rsidR="003A0CD0">
        <w:rPr>
          <w:rFonts w:ascii="Trebuchet MS" w:eastAsia="Cambria" w:hAnsi="Trebuchet MS"/>
          <w:sz w:val="24"/>
        </w:rPr>
        <w:t xml:space="preserve">runoff </w:t>
      </w:r>
      <w:r>
        <w:rPr>
          <w:rFonts w:ascii="Trebuchet MS" w:eastAsia="Cambria" w:hAnsi="Trebuchet MS"/>
          <w:sz w:val="24"/>
        </w:rPr>
        <w:t>escapes into the sewer system (and the less efficient the installation proves</w:t>
      </w:r>
      <w:r w:rsidR="003A0CD0">
        <w:rPr>
          <w:rFonts w:ascii="Trebuchet MS" w:eastAsia="Cambria" w:hAnsi="Trebuchet MS"/>
          <w:sz w:val="24"/>
        </w:rPr>
        <w:t xml:space="preserve"> to be during that given storm</w:t>
      </w:r>
      <w:r>
        <w:rPr>
          <w:rFonts w:ascii="Trebuchet MS" w:eastAsia="Cambria" w:hAnsi="Trebuchet MS"/>
          <w:sz w:val="24"/>
        </w:rPr>
        <w:t xml:space="preserve">). </w:t>
      </w:r>
      <w:r w:rsidR="003A0CD0">
        <w:rPr>
          <w:rFonts w:ascii="Trebuchet MS" w:eastAsia="Cambria" w:hAnsi="Trebuchet MS"/>
          <w:sz w:val="24"/>
        </w:rPr>
        <w:t xml:space="preserve">This is to be expected. </w:t>
      </w:r>
      <w:r w:rsidR="002A4899">
        <w:rPr>
          <w:rFonts w:ascii="Trebuchet MS" w:eastAsia="Cambria" w:hAnsi="Trebuchet MS"/>
          <w:sz w:val="24"/>
        </w:rPr>
        <w:t>I would</w:t>
      </w:r>
      <w:r>
        <w:rPr>
          <w:rFonts w:ascii="Trebuchet MS" w:eastAsia="Cambria" w:hAnsi="Trebuchet MS"/>
          <w:sz w:val="24"/>
        </w:rPr>
        <w:t xml:space="preserve"> have, had Environmental Protection shared</w:t>
      </w:r>
      <w:r w:rsidR="003A0CD0">
        <w:rPr>
          <w:rFonts w:ascii="Trebuchet MS" w:eastAsia="Cambria" w:hAnsi="Trebuchet MS"/>
          <w:sz w:val="24"/>
        </w:rPr>
        <w:t xml:space="preserve"> the</w:t>
      </w:r>
      <w:r w:rsidR="002A4899">
        <w:rPr>
          <w:rFonts w:ascii="Trebuchet MS" w:eastAsia="Cambria" w:hAnsi="Trebuchet MS"/>
          <w:sz w:val="24"/>
        </w:rPr>
        <w:t xml:space="preserve"> raw </w:t>
      </w:r>
      <w:r w:rsidR="00BA53A1">
        <w:rPr>
          <w:rFonts w:ascii="Trebuchet MS" w:eastAsia="Cambria" w:hAnsi="Trebuchet MS"/>
          <w:sz w:val="24"/>
        </w:rPr>
        <w:t>data</w:t>
      </w:r>
      <w:r w:rsidR="003A0CD0">
        <w:rPr>
          <w:rFonts w:ascii="Trebuchet MS" w:eastAsia="Cambria" w:hAnsi="Trebuchet MS"/>
          <w:sz w:val="24"/>
        </w:rPr>
        <w:t xml:space="preserve"> from the monitoring project</w:t>
      </w:r>
      <w:r w:rsidR="00BA53A1">
        <w:rPr>
          <w:rFonts w:ascii="Trebuchet MS" w:eastAsia="Cambria" w:hAnsi="Trebuchet MS"/>
          <w:sz w:val="24"/>
        </w:rPr>
        <w:t xml:space="preserve">, </w:t>
      </w:r>
      <w:r w:rsidR="002A4899">
        <w:rPr>
          <w:rFonts w:ascii="Trebuchet MS" w:eastAsia="Cambria" w:hAnsi="Trebuchet MS"/>
          <w:sz w:val="24"/>
        </w:rPr>
        <w:t>expa</w:t>
      </w:r>
      <w:r w:rsidR="003A0CD0">
        <w:rPr>
          <w:rFonts w:ascii="Trebuchet MS" w:eastAsia="Cambria" w:hAnsi="Trebuchet MS"/>
          <w:sz w:val="24"/>
        </w:rPr>
        <w:t xml:space="preserve">nded the model’s </w:t>
      </w:r>
      <w:proofErr w:type="spellStart"/>
      <w:r w:rsidR="003A0CD0">
        <w:rPr>
          <w:rFonts w:ascii="Trebuchet MS" w:eastAsia="Cambria" w:hAnsi="Trebuchet MS"/>
          <w:sz w:val="24"/>
        </w:rPr>
        <w:t>bioswale</w:t>
      </w:r>
      <w:proofErr w:type="spellEnd"/>
      <w:r w:rsidR="003A0CD0">
        <w:rPr>
          <w:rFonts w:ascii="Trebuchet MS" w:eastAsia="Cambria" w:hAnsi="Trebuchet MS"/>
          <w:sz w:val="24"/>
        </w:rPr>
        <w:t xml:space="preserve"> components. Managers at City — in any agency — can take that </w:t>
      </w:r>
      <w:r w:rsidR="00BA53A1">
        <w:rPr>
          <w:rFonts w:ascii="Trebuchet MS" w:eastAsia="Cambria" w:hAnsi="Trebuchet MS"/>
          <w:sz w:val="24"/>
        </w:rPr>
        <w:t xml:space="preserve">step </w:t>
      </w:r>
      <w:r w:rsidR="003A0CD0">
        <w:rPr>
          <w:rFonts w:ascii="Trebuchet MS" w:eastAsia="Cambria" w:hAnsi="Trebuchet MS"/>
          <w:sz w:val="24"/>
        </w:rPr>
        <w:t xml:space="preserve">itself </w:t>
      </w:r>
      <w:r w:rsidR="00BA53A1">
        <w:rPr>
          <w:rFonts w:ascii="Trebuchet MS" w:eastAsia="Cambria" w:hAnsi="Trebuchet MS"/>
          <w:sz w:val="24"/>
        </w:rPr>
        <w:t xml:space="preserve">by: </w:t>
      </w:r>
    </w:p>
    <w:p w14:paraId="0EF8DDC7" w14:textId="149873BC" w:rsidR="003A0CD0" w:rsidRDefault="003A0CD0" w:rsidP="00492095">
      <w:pPr>
        <w:pStyle w:val="Normal1"/>
        <w:numPr>
          <w:ilvl w:val="0"/>
          <w:numId w:val="2"/>
        </w:numPr>
        <w:spacing w:after="120"/>
        <w:rPr>
          <w:rFonts w:ascii="Trebuchet MS" w:eastAsia="Cambria" w:hAnsi="Trebuchet MS"/>
          <w:sz w:val="24"/>
        </w:rPr>
      </w:pPr>
      <w:r>
        <w:rPr>
          <w:rFonts w:ascii="Trebuchet MS" w:eastAsia="Cambria" w:hAnsi="Trebuchet MS"/>
          <w:sz w:val="24"/>
        </w:rPr>
        <w:t>Securing the monitoring data from Environmental Protection;</w:t>
      </w:r>
    </w:p>
    <w:p w14:paraId="1F70EE1F" w14:textId="4B0F60AB" w:rsidR="00BA53A1" w:rsidRDefault="00BA53A1" w:rsidP="00492095">
      <w:pPr>
        <w:pStyle w:val="Normal1"/>
        <w:numPr>
          <w:ilvl w:val="0"/>
          <w:numId w:val="2"/>
        </w:numPr>
        <w:spacing w:after="120"/>
        <w:rPr>
          <w:rFonts w:ascii="Trebuchet MS" w:eastAsia="Cambria" w:hAnsi="Trebuchet MS"/>
          <w:sz w:val="24"/>
        </w:rPr>
      </w:pPr>
      <w:r>
        <w:rPr>
          <w:rFonts w:ascii="Trebuchet MS" w:eastAsia="Cambria" w:hAnsi="Trebuchet MS"/>
          <w:sz w:val="24"/>
        </w:rPr>
        <w:t>Securing</w:t>
      </w:r>
      <w:r w:rsidR="002A4899">
        <w:rPr>
          <w:rFonts w:ascii="Trebuchet MS" w:eastAsia="Cambria" w:hAnsi="Trebuchet MS"/>
          <w:sz w:val="24"/>
        </w:rPr>
        <w:t xml:space="preserve"> </w:t>
      </w:r>
      <w:r w:rsidR="003A0CD0">
        <w:rPr>
          <w:rFonts w:ascii="Trebuchet MS" w:eastAsia="Cambria" w:hAnsi="Trebuchet MS"/>
          <w:sz w:val="24"/>
        </w:rPr>
        <w:t xml:space="preserve">New York City-specific </w:t>
      </w:r>
      <w:r w:rsidR="002A4899">
        <w:rPr>
          <w:rFonts w:ascii="Trebuchet MS" w:eastAsia="Cambria" w:hAnsi="Trebuchet MS"/>
          <w:sz w:val="24"/>
        </w:rPr>
        <w:t>storm data from the National Weather Service</w:t>
      </w:r>
      <w:r>
        <w:rPr>
          <w:rFonts w:ascii="Trebuchet MS" w:eastAsia="Cambria" w:hAnsi="Trebuchet MS"/>
          <w:sz w:val="24"/>
        </w:rPr>
        <w:t>; it could then easily</w:t>
      </w:r>
      <w:r w:rsidR="002A4899">
        <w:rPr>
          <w:rFonts w:ascii="Trebuchet MS" w:eastAsia="Cambria" w:hAnsi="Trebuchet MS"/>
          <w:sz w:val="24"/>
        </w:rPr>
        <w:t xml:space="preserve"> identify the probabilities associated with different storms (that is, different volumes of rainfall)</w:t>
      </w:r>
      <w:r w:rsidR="003A0CD0">
        <w:rPr>
          <w:rFonts w:ascii="Trebuchet MS" w:eastAsia="Cambria" w:hAnsi="Trebuchet MS"/>
          <w:sz w:val="24"/>
        </w:rPr>
        <w:t xml:space="preserve"> in the c</w:t>
      </w:r>
      <w:r w:rsidR="002A4899">
        <w:rPr>
          <w:rFonts w:ascii="Trebuchet MS" w:eastAsia="Cambria" w:hAnsi="Trebuchet MS"/>
          <w:sz w:val="24"/>
        </w:rPr>
        <w:t>ity</w:t>
      </w:r>
      <w:r>
        <w:rPr>
          <w:rFonts w:ascii="Trebuchet MS" w:eastAsia="Cambria" w:hAnsi="Trebuchet MS"/>
          <w:sz w:val="24"/>
        </w:rPr>
        <w:t xml:space="preserve"> across an average year; </w:t>
      </w:r>
    </w:p>
    <w:p w14:paraId="20B4A0A7" w14:textId="1224DB61" w:rsidR="00AD5BDC" w:rsidRDefault="00BA53A1" w:rsidP="00492095">
      <w:pPr>
        <w:pStyle w:val="Normal1"/>
        <w:numPr>
          <w:ilvl w:val="0"/>
          <w:numId w:val="2"/>
        </w:numPr>
        <w:spacing w:after="120"/>
        <w:rPr>
          <w:rFonts w:ascii="Trebuchet MS" w:eastAsia="Cambria" w:hAnsi="Trebuchet MS"/>
          <w:sz w:val="24"/>
        </w:rPr>
      </w:pPr>
      <w:r>
        <w:rPr>
          <w:rFonts w:ascii="Trebuchet MS" w:eastAsia="Cambria" w:hAnsi="Trebuchet MS"/>
          <w:sz w:val="24"/>
        </w:rPr>
        <w:t xml:space="preserve">Multiplying those </w:t>
      </w:r>
      <w:r w:rsidR="003A0CD0">
        <w:rPr>
          <w:rFonts w:ascii="Trebuchet MS" w:eastAsia="Cambria" w:hAnsi="Trebuchet MS"/>
          <w:sz w:val="24"/>
        </w:rPr>
        <w:t>probabilities by</w:t>
      </w:r>
      <w:r w:rsidR="002A4899">
        <w:rPr>
          <w:rFonts w:ascii="Trebuchet MS" w:eastAsia="Cambria" w:hAnsi="Trebuchet MS"/>
          <w:sz w:val="24"/>
        </w:rPr>
        <w:t xml:space="preserve"> the efficiency </w:t>
      </w:r>
      <w:r w:rsidR="003A0CD0">
        <w:rPr>
          <w:rFonts w:ascii="Trebuchet MS" w:eastAsia="Cambria" w:hAnsi="Trebuchet MS"/>
          <w:sz w:val="24"/>
        </w:rPr>
        <w:t>data provided through the monitoring project</w:t>
      </w:r>
      <w:r w:rsidR="00AD5BDC">
        <w:rPr>
          <w:rFonts w:ascii="Trebuchet MS" w:eastAsia="Cambria" w:hAnsi="Trebuchet MS"/>
          <w:sz w:val="24"/>
        </w:rPr>
        <w:t xml:space="preserve">. </w:t>
      </w:r>
    </w:p>
    <w:p w14:paraId="2A1E4FB2" w14:textId="6A6257C9" w:rsidR="003D7214" w:rsidRPr="00DF15D0" w:rsidRDefault="003D7214" w:rsidP="003D7214">
      <w:pPr>
        <w:pStyle w:val="Normal1"/>
        <w:spacing w:after="120"/>
        <w:rPr>
          <w:rFonts w:ascii="Trebuchet MS" w:eastAsia="Cambria" w:hAnsi="Trebuchet MS"/>
          <w:sz w:val="24"/>
          <w:highlight w:val="white"/>
        </w:rPr>
      </w:pPr>
      <w:r>
        <w:rPr>
          <w:rFonts w:ascii="Trebuchet MS" w:eastAsia="Cambria" w:hAnsi="Trebuchet MS"/>
          <w:sz w:val="24"/>
          <w:highlight w:val="white"/>
        </w:rPr>
        <w:t>Third, and most broadly, agencies should collaborate</w:t>
      </w:r>
      <w:r w:rsidR="003A0CD0">
        <w:rPr>
          <w:rFonts w:ascii="Trebuchet MS" w:eastAsia="Cambria" w:hAnsi="Trebuchet MS"/>
          <w:sz w:val="24"/>
          <w:highlight w:val="white"/>
        </w:rPr>
        <w:t xml:space="preserve"> in evaluating green infrastructure alternatives. Environmental Protection has taken the lead in installing </w:t>
      </w:r>
      <w:r w:rsidR="003A0CD0">
        <w:rPr>
          <w:rFonts w:ascii="Trebuchet MS" w:eastAsia="Cambria" w:hAnsi="Trebuchet MS"/>
          <w:sz w:val="24"/>
          <w:highlight w:val="white"/>
        </w:rPr>
        <w:lastRenderedPageBreak/>
        <w:t>green infrastructure, but other agencies — including the Transportation Department and the Department of Parks and Recreation — have obvious assets to bring to the discussion.</w:t>
      </w:r>
      <w:r>
        <w:rPr>
          <w:rFonts w:ascii="Trebuchet MS" w:eastAsia="Cambria" w:hAnsi="Trebuchet MS"/>
          <w:sz w:val="24"/>
          <w:highlight w:val="white"/>
        </w:rPr>
        <w:t xml:space="preserve"> </w:t>
      </w:r>
      <w:r w:rsidR="003A0CD0">
        <w:rPr>
          <w:rFonts w:ascii="Trebuchet MS" w:eastAsia="Cambria" w:hAnsi="Trebuchet MS"/>
          <w:sz w:val="24"/>
          <w:highlight w:val="white"/>
        </w:rPr>
        <w:t>Agencies</w:t>
      </w:r>
      <w:r w:rsidR="00AD5BDC">
        <w:rPr>
          <w:rFonts w:ascii="Trebuchet MS" w:eastAsia="Cambria" w:hAnsi="Trebuchet MS"/>
          <w:sz w:val="24"/>
          <w:highlight w:val="white"/>
        </w:rPr>
        <w:t xml:space="preserve"> should share data</w:t>
      </w:r>
      <w:r w:rsidR="003A0CD0">
        <w:rPr>
          <w:rFonts w:ascii="Trebuchet MS" w:eastAsia="Cambria" w:hAnsi="Trebuchet MS"/>
          <w:sz w:val="24"/>
          <w:highlight w:val="white"/>
        </w:rPr>
        <w:t xml:space="preserve"> and institutional knowledge</w:t>
      </w:r>
      <w:r w:rsidR="00AD5BDC">
        <w:rPr>
          <w:rFonts w:ascii="Trebuchet MS" w:eastAsia="Cambria" w:hAnsi="Trebuchet MS"/>
          <w:sz w:val="24"/>
          <w:highlight w:val="white"/>
        </w:rPr>
        <w:t>; even when the</w:t>
      </w:r>
      <w:r>
        <w:rPr>
          <w:rFonts w:ascii="Trebuchet MS" w:eastAsia="Cambria" w:hAnsi="Trebuchet MS"/>
          <w:sz w:val="24"/>
          <w:highlight w:val="white"/>
        </w:rPr>
        <w:t xml:space="preserve"> data isn’t concrete, they should share the best numbers available. On this front, t</w:t>
      </w:r>
      <w:r w:rsidRPr="00DF15D0">
        <w:rPr>
          <w:rFonts w:ascii="Trebuchet MS" w:eastAsia="Cambria" w:hAnsi="Trebuchet MS"/>
          <w:sz w:val="24"/>
          <w:highlight w:val="white"/>
        </w:rPr>
        <w:t xml:space="preserve">he City should pay close attention to the </w:t>
      </w:r>
      <w:r>
        <w:rPr>
          <w:rFonts w:ascii="Trebuchet MS" w:eastAsia="Cambria" w:hAnsi="Trebuchet MS"/>
          <w:sz w:val="24"/>
          <w:highlight w:val="white"/>
        </w:rPr>
        <w:t>efficiency of</w:t>
      </w:r>
      <w:r w:rsidRPr="00DF15D0">
        <w:rPr>
          <w:rFonts w:ascii="Trebuchet MS" w:eastAsia="Cambria" w:hAnsi="Trebuchet MS"/>
          <w:sz w:val="24"/>
          <w:highlight w:val="white"/>
        </w:rPr>
        <w:t xml:space="preserve"> </w:t>
      </w:r>
      <w:r>
        <w:rPr>
          <w:rFonts w:ascii="Trebuchet MS" w:eastAsia="Cambria" w:hAnsi="Trebuchet MS"/>
          <w:sz w:val="24"/>
          <w:highlight w:val="white"/>
        </w:rPr>
        <w:t xml:space="preserve">different </w:t>
      </w:r>
      <w:r w:rsidRPr="00DF15D0">
        <w:rPr>
          <w:rFonts w:ascii="Trebuchet MS" w:eastAsia="Cambria" w:hAnsi="Trebuchet MS"/>
          <w:sz w:val="24"/>
          <w:highlight w:val="white"/>
        </w:rPr>
        <w:t>green infrastructure</w:t>
      </w:r>
      <w:r>
        <w:rPr>
          <w:rFonts w:ascii="Trebuchet MS" w:eastAsia="Cambria" w:hAnsi="Trebuchet MS"/>
          <w:sz w:val="24"/>
          <w:highlight w:val="white"/>
        </w:rPr>
        <w:t xml:space="preserve"> installations</w:t>
      </w:r>
      <w:r w:rsidR="00AD5BDC">
        <w:rPr>
          <w:rFonts w:ascii="Trebuchet MS" w:eastAsia="Cambria" w:hAnsi="Trebuchet MS"/>
          <w:sz w:val="24"/>
          <w:highlight w:val="white"/>
        </w:rPr>
        <w:t xml:space="preserve"> as those numbers become available</w:t>
      </w:r>
      <w:r w:rsidRPr="00DF15D0">
        <w:rPr>
          <w:rFonts w:ascii="Trebuchet MS" w:eastAsia="Cambria" w:hAnsi="Trebuchet MS"/>
          <w:sz w:val="24"/>
          <w:highlight w:val="white"/>
        </w:rPr>
        <w:t xml:space="preserve">. </w:t>
      </w:r>
      <w:r>
        <w:rPr>
          <w:rFonts w:ascii="Trebuchet MS" w:eastAsia="Cambria" w:hAnsi="Trebuchet MS"/>
          <w:sz w:val="24"/>
          <w:highlight w:val="white"/>
        </w:rPr>
        <w:t>Environmental Protection accepted bids last year for what it suggests will be a major monitoring p</w:t>
      </w:r>
      <w:r w:rsidR="003A0CD0">
        <w:rPr>
          <w:rFonts w:ascii="Trebuchet MS" w:eastAsia="Cambria" w:hAnsi="Trebuchet MS"/>
          <w:sz w:val="24"/>
          <w:highlight w:val="white"/>
        </w:rPr>
        <w:t xml:space="preserve">roject regarding </w:t>
      </w:r>
      <w:proofErr w:type="spellStart"/>
      <w:r w:rsidR="003A0CD0">
        <w:rPr>
          <w:rFonts w:ascii="Trebuchet MS" w:eastAsia="Cambria" w:hAnsi="Trebuchet MS"/>
          <w:sz w:val="24"/>
          <w:highlight w:val="white"/>
        </w:rPr>
        <w:t>bioswales</w:t>
      </w:r>
      <w:proofErr w:type="spellEnd"/>
      <w:r w:rsidR="003A0CD0">
        <w:rPr>
          <w:rFonts w:ascii="Trebuchet MS" w:eastAsia="Cambria" w:hAnsi="Trebuchet MS"/>
          <w:sz w:val="24"/>
          <w:highlight w:val="white"/>
        </w:rPr>
        <w:t xml:space="preserve">. Also, </w:t>
      </w:r>
      <w:r>
        <w:rPr>
          <w:rFonts w:ascii="Trebuchet MS" w:eastAsia="Cambria" w:hAnsi="Trebuchet MS"/>
          <w:sz w:val="24"/>
          <w:highlight w:val="white"/>
        </w:rPr>
        <w:t>City lawmakers have asked for an analysis of porous pavement in 2016</w:t>
      </w:r>
      <w:r w:rsidR="00AD5BDC">
        <w:rPr>
          <w:rFonts w:ascii="Trebuchet MS" w:eastAsia="Cambria" w:hAnsi="Trebuchet MS"/>
          <w:sz w:val="24"/>
          <w:highlight w:val="white"/>
        </w:rPr>
        <w:t xml:space="preserve">. Those </w:t>
      </w:r>
      <w:r w:rsidR="003A0CD0">
        <w:rPr>
          <w:rFonts w:ascii="Trebuchet MS" w:eastAsia="Cambria" w:hAnsi="Trebuchet MS"/>
          <w:sz w:val="24"/>
          <w:highlight w:val="white"/>
        </w:rPr>
        <w:t xml:space="preserve">two </w:t>
      </w:r>
      <w:r w:rsidR="00AD5BDC">
        <w:rPr>
          <w:rFonts w:ascii="Trebuchet MS" w:eastAsia="Cambria" w:hAnsi="Trebuchet MS"/>
          <w:sz w:val="24"/>
          <w:highlight w:val="white"/>
        </w:rPr>
        <w:t>reports will help managers administering and overseeing green infrastructure to understand how well various alternatives work.</w:t>
      </w:r>
    </w:p>
    <w:p w14:paraId="498D9353" w14:textId="5759A3BA" w:rsidR="008355C2" w:rsidRDefault="003D7214">
      <w:pPr>
        <w:pStyle w:val="Normal1"/>
        <w:spacing w:after="120"/>
        <w:rPr>
          <w:rFonts w:ascii="Trebuchet MS" w:eastAsia="Cambria" w:hAnsi="Trebuchet MS"/>
          <w:sz w:val="24"/>
        </w:rPr>
      </w:pPr>
      <w:r w:rsidRPr="00DF15D0">
        <w:rPr>
          <w:rFonts w:ascii="Trebuchet MS" w:eastAsia="Cambria" w:hAnsi="Trebuchet MS"/>
          <w:sz w:val="24"/>
          <w:highlight w:val="white"/>
        </w:rPr>
        <w:t xml:space="preserve">If the </w:t>
      </w:r>
      <w:r>
        <w:rPr>
          <w:rFonts w:ascii="Trebuchet MS" w:eastAsia="Cambria" w:hAnsi="Trebuchet MS"/>
          <w:sz w:val="24"/>
          <w:highlight w:val="white"/>
        </w:rPr>
        <w:t>C</w:t>
      </w:r>
      <w:r w:rsidR="003A0CD0">
        <w:rPr>
          <w:rFonts w:ascii="Trebuchet MS" w:eastAsia="Cambria" w:hAnsi="Trebuchet MS"/>
          <w:sz w:val="24"/>
          <w:highlight w:val="white"/>
        </w:rPr>
        <w:t>ity hopes to build hundreds of</w:t>
      </w:r>
      <w:r w:rsidRPr="00DF15D0">
        <w:rPr>
          <w:rFonts w:ascii="Trebuchet MS" w:eastAsia="Cambria" w:hAnsi="Trebuchet MS"/>
          <w:sz w:val="24"/>
          <w:highlight w:val="white"/>
        </w:rPr>
        <w:t xml:space="preserve"> new </w:t>
      </w:r>
      <w:proofErr w:type="spellStart"/>
      <w:r w:rsidRPr="00DF15D0">
        <w:rPr>
          <w:rFonts w:ascii="Trebuchet MS" w:eastAsia="Cambria" w:hAnsi="Trebuchet MS"/>
          <w:sz w:val="24"/>
          <w:highlight w:val="white"/>
        </w:rPr>
        <w:t>bioswales</w:t>
      </w:r>
      <w:proofErr w:type="spellEnd"/>
      <w:r w:rsidRPr="00DF15D0">
        <w:rPr>
          <w:rFonts w:ascii="Trebuchet MS" w:eastAsia="Cambria" w:hAnsi="Trebuchet MS"/>
          <w:sz w:val="24"/>
          <w:highlight w:val="white"/>
        </w:rPr>
        <w:t xml:space="preserve"> at n</w:t>
      </w:r>
      <w:r w:rsidR="003A0CD0">
        <w:rPr>
          <w:rFonts w:ascii="Trebuchet MS" w:eastAsia="Cambria" w:hAnsi="Trebuchet MS"/>
          <w:sz w:val="24"/>
          <w:highlight w:val="white"/>
        </w:rPr>
        <w:t xml:space="preserve">early $40,000 per installation in the coming years, </w:t>
      </w:r>
      <w:r w:rsidRPr="00DF15D0">
        <w:rPr>
          <w:rFonts w:ascii="Trebuchet MS" w:eastAsia="Cambria" w:hAnsi="Trebuchet MS"/>
          <w:sz w:val="24"/>
          <w:highlight w:val="white"/>
        </w:rPr>
        <w:t>administrators should better understand how effective those insta</w:t>
      </w:r>
      <w:r w:rsidR="003A0CD0">
        <w:rPr>
          <w:rFonts w:ascii="Trebuchet MS" w:eastAsia="Cambria" w:hAnsi="Trebuchet MS"/>
          <w:sz w:val="24"/>
          <w:highlight w:val="white"/>
        </w:rPr>
        <w:t>llations are at capturing storm</w:t>
      </w:r>
      <w:r w:rsidR="008355C2">
        <w:rPr>
          <w:rFonts w:ascii="Trebuchet MS" w:eastAsia="Cambria" w:hAnsi="Trebuchet MS"/>
          <w:sz w:val="24"/>
          <w:highlight w:val="white"/>
        </w:rPr>
        <w:t xml:space="preserve"> </w:t>
      </w:r>
      <w:r w:rsidRPr="00DF15D0">
        <w:rPr>
          <w:rFonts w:ascii="Trebuchet MS" w:eastAsia="Cambria" w:hAnsi="Trebuchet MS"/>
          <w:sz w:val="24"/>
          <w:highlight w:val="white"/>
        </w:rPr>
        <w:t xml:space="preserve">water compared to the alternatives. </w:t>
      </w:r>
      <w:r w:rsidR="003A0CD0">
        <w:rPr>
          <w:rFonts w:ascii="Trebuchet MS" w:eastAsia="Cambria" w:hAnsi="Trebuchet MS"/>
          <w:sz w:val="24"/>
        </w:rPr>
        <w:t>This model and</w:t>
      </w:r>
      <w:r w:rsidR="00AD5BDC">
        <w:rPr>
          <w:rFonts w:ascii="Trebuchet MS" w:eastAsia="Cambria" w:hAnsi="Trebuchet MS"/>
          <w:sz w:val="24"/>
        </w:rPr>
        <w:t xml:space="preserve"> the recommendations </w:t>
      </w:r>
      <w:r w:rsidR="003A0CD0">
        <w:rPr>
          <w:rFonts w:ascii="Trebuchet MS" w:eastAsia="Cambria" w:hAnsi="Trebuchet MS"/>
          <w:sz w:val="24"/>
        </w:rPr>
        <w:t xml:space="preserve">outlined above are designed to help on that front. </w:t>
      </w:r>
    </w:p>
    <w:p w14:paraId="72EE4696" w14:textId="77777777" w:rsidR="00DF49D0" w:rsidRDefault="00DF49D0">
      <w:pPr>
        <w:pStyle w:val="Normal1"/>
        <w:spacing w:after="120"/>
        <w:rPr>
          <w:rFonts w:ascii="Trebuchet MS" w:eastAsia="Cambria" w:hAnsi="Trebuchet MS"/>
          <w:sz w:val="24"/>
        </w:rPr>
      </w:pPr>
    </w:p>
    <w:p w14:paraId="02DD982D" w14:textId="77777777" w:rsidR="00DF49D0" w:rsidRDefault="00DF49D0">
      <w:pPr>
        <w:pStyle w:val="Normal1"/>
        <w:spacing w:after="120"/>
        <w:rPr>
          <w:rFonts w:ascii="Trebuchet MS" w:eastAsia="Cambria" w:hAnsi="Trebuchet MS"/>
          <w:sz w:val="24"/>
        </w:rPr>
      </w:pPr>
    </w:p>
    <w:p w14:paraId="5552E741" w14:textId="77777777" w:rsidR="00DF49D0" w:rsidRDefault="00DF49D0">
      <w:pPr>
        <w:rPr>
          <w:rFonts w:ascii="Trebuchet MS" w:eastAsiaTheme="majorEastAsia" w:hAnsi="Trebuchet MS" w:cstheme="majorBidi"/>
          <w:b/>
          <w:bCs/>
          <w:color w:val="345A8A" w:themeColor="accent1" w:themeShade="B5"/>
          <w:sz w:val="32"/>
          <w:szCs w:val="32"/>
        </w:rPr>
      </w:pPr>
      <w:r>
        <w:rPr>
          <w:rFonts w:ascii="Trebuchet MS" w:hAnsi="Trebuchet MS"/>
        </w:rPr>
        <w:br w:type="page"/>
      </w:r>
    </w:p>
    <w:p w14:paraId="145DDA97" w14:textId="2CD72929" w:rsidR="00DF49D0" w:rsidRPr="00492095" w:rsidRDefault="00DF49D0" w:rsidP="00492095">
      <w:pPr>
        <w:pStyle w:val="Heading1"/>
        <w:rPr>
          <w:rFonts w:ascii="Trebuchet MS" w:hAnsi="Trebuchet MS"/>
        </w:rPr>
      </w:pPr>
      <w:bookmarkStart w:id="14" w:name="_Toc266201049"/>
      <w:r w:rsidRPr="00492095">
        <w:rPr>
          <w:rFonts w:ascii="Trebuchet MS" w:hAnsi="Trebuchet MS"/>
        </w:rPr>
        <w:lastRenderedPageBreak/>
        <w:t>References</w:t>
      </w:r>
      <w:bookmarkEnd w:id="14"/>
    </w:p>
    <w:p w14:paraId="6546C9CC" w14:textId="77777777" w:rsidR="00DF49D0" w:rsidRPr="009234A2" w:rsidRDefault="00DF49D0" w:rsidP="00492095"/>
    <w:p w14:paraId="5CA63FB4" w14:textId="16ACDDD9" w:rsidR="00DF49D0" w:rsidRPr="00DF49D0" w:rsidRDefault="00DF49D0" w:rsidP="00DF49D0">
      <w:pPr>
        <w:pStyle w:val="Normal1"/>
        <w:spacing w:after="120"/>
        <w:rPr>
          <w:rFonts w:ascii="Trebuchet MS" w:eastAsia="Cambria" w:hAnsi="Trebuchet MS"/>
        </w:rPr>
      </w:pPr>
      <w:proofErr w:type="spellStart"/>
      <w:r w:rsidRPr="00DF49D0">
        <w:rPr>
          <w:rFonts w:ascii="Trebuchet MS" w:eastAsia="Cambria" w:hAnsi="Trebuchet MS"/>
        </w:rPr>
        <w:t>Basch</w:t>
      </w:r>
      <w:proofErr w:type="spellEnd"/>
      <w:r w:rsidRPr="00DF49D0">
        <w:rPr>
          <w:rFonts w:ascii="Trebuchet MS" w:eastAsia="Cambria" w:hAnsi="Trebuchet MS"/>
        </w:rPr>
        <w:t xml:space="preserve">, E, R </w:t>
      </w:r>
      <w:proofErr w:type="spellStart"/>
      <w:r w:rsidRPr="00DF49D0">
        <w:rPr>
          <w:rFonts w:ascii="Trebuchet MS" w:eastAsia="Cambria" w:hAnsi="Trebuchet MS"/>
        </w:rPr>
        <w:t>Brana</w:t>
      </w:r>
      <w:proofErr w:type="spellEnd"/>
      <w:r w:rsidRPr="00DF49D0">
        <w:rPr>
          <w:rFonts w:ascii="Trebuchet MS" w:eastAsia="Cambria" w:hAnsi="Trebuchet MS"/>
        </w:rPr>
        <w:t xml:space="preserve">, E Briggs, C Chang, </w:t>
      </w:r>
      <w:proofErr w:type="gramStart"/>
      <w:r w:rsidRPr="00DF49D0">
        <w:rPr>
          <w:rFonts w:ascii="Trebuchet MS" w:eastAsia="Cambria" w:hAnsi="Trebuchet MS"/>
        </w:rPr>
        <w:t>A</w:t>
      </w:r>
      <w:proofErr w:type="gramEnd"/>
      <w:r w:rsidRPr="00DF49D0">
        <w:rPr>
          <w:rFonts w:ascii="Trebuchet MS" w:eastAsia="Cambria" w:hAnsi="Trebuchet MS"/>
        </w:rPr>
        <w:t xml:space="preserve"> </w:t>
      </w:r>
      <w:proofErr w:type="spellStart"/>
      <w:r w:rsidRPr="00DF49D0">
        <w:rPr>
          <w:rFonts w:ascii="Trebuchet MS" w:eastAsia="Cambria" w:hAnsi="Trebuchet MS"/>
        </w:rPr>
        <w:t>Iyalla</w:t>
      </w:r>
      <w:proofErr w:type="spellEnd"/>
      <w:r w:rsidRPr="00DF49D0">
        <w:rPr>
          <w:rFonts w:ascii="Trebuchet MS" w:eastAsia="Cambria" w:hAnsi="Trebuchet MS"/>
        </w:rPr>
        <w:t xml:space="preserve">, D Logsdon, R </w:t>
      </w:r>
      <w:proofErr w:type="spellStart"/>
      <w:r w:rsidRPr="00DF49D0">
        <w:rPr>
          <w:rFonts w:ascii="Trebuchet MS" w:eastAsia="Cambria" w:hAnsi="Trebuchet MS"/>
        </w:rPr>
        <w:t>Meinke</w:t>
      </w:r>
      <w:proofErr w:type="spellEnd"/>
      <w:r w:rsidRPr="00DF49D0">
        <w:rPr>
          <w:rFonts w:ascii="Trebuchet MS" w:eastAsia="Cambria" w:hAnsi="Trebuchet MS"/>
        </w:rPr>
        <w:t xml:space="preserve">, M </w:t>
      </w:r>
      <w:proofErr w:type="spellStart"/>
      <w:r w:rsidRPr="00DF49D0">
        <w:rPr>
          <w:rFonts w:ascii="Trebuchet MS" w:eastAsia="Cambria" w:hAnsi="Trebuchet MS"/>
        </w:rPr>
        <w:t>Moomjy</w:t>
      </w:r>
      <w:proofErr w:type="spellEnd"/>
      <w:r w:rsidRPr="00DF49D0">
        <w:rPr>
          <w:rFonts w:ascii="Trebuchet MS" w:eastAsia="Cambria" w:hAnsi="Trebuchet MS"/>
        </w:rPr>
        <w:t xml:space="preserve">, OD Price, S </w:t>
      </w:r>
      <w:proofErr w:type="spellStart"/>
      <w:r w:rsidRPr="00DF49D0">
        <w:rPr>
          <w:rFonts w:ascii="Trebuchet MS" w:eastAsia="Cambria" w:hAnsi="Trebuchet MS"/>
        </w:rPr>
        <w:t>Sinckler</w:t>
      </w:r>
      <w:proofErr w:type="spellEnd"/>
      <w:r w:rsidRPr="00DF49D0">
        <w:rPr>
          <w:rFonts w:ascii="Trebuchet MS" w:eastAsia="Cambria" w:hAnsi="Trebuchet MS"/>
        </w:rPr>
        <w:t xml:space="preserve">. 2012. Roadmap for pervious pavement in New York City: a strategic plan for the New York City Department of Transportation. </w:t>
      </w:r>
      <w:proofErr w:type="gramStart"/>
      <w:r w:rsidRPr="00DF49D0">
        <w:rPr>
          <w:rFonts w:ascii="Trebuchet MS" w:eastAsia="Cambria" w:hAnsi="Trebuchet MS"/>
          <w:i/>
        </w:rPr>
        <w:t>Columbia University.</w:t>
      </w:r>
      <w:proofErr w:type="gramEnd"/>
      <w:r w:rsidRPr="00DF49D0">
        <w:rPr>
          <w:rFonts w:ascii="Trebuchet MS" w:eastAsia="Cambria" w:hAnsi="Trebuchet MS"/>
        </w:rPr>
        <w:t xml:space="preserve"> </w:t>
      </w:r>
    </w:p>
    <w:p w14:paraId="5F459775" w14:textId="00A00A04" w:rsidR="00DF49D0" w:rsidRPr="00DF49D0" w:rsidRDefault="00DF49D0" w:rsidP="00DF49D0">
      <w:pPr>
        <w:pStyle w:val="Normal1"/>
        <w:spacing w:after="120"/>
        <w:rPr>
          <w:rFonts w:ascii="Trebuchet MS" w:eastAsia="Cambria" w:hAnsi="Trebuchet MS"/>
        </w:rPr>
      </w:pPr>
      <w:r w:rsidRPr="00DF49D0">
        <w:rPr>
          <w:rFonts w:ascii="Trebuchet MS" w:eastAsia="Cambria" w:hAnsi="Trebuchet MS"/>
        </w:rPr>
        <w:t xml:space="preserve">Boardman, AE, D Greenberg, </w:t>
      </w:r>
      <w:proofErr w:type="gramStart"/>
      <w:r w:rsidRPr="00DF49D0">
        <w:rPr>
          <w:rFonts w:ascii="Trebuchet MS" w:eastAsia="Cambria" w:hAnsi="Trebuchet MS"/>
        </w:rPr>
        <w:t>A</w:t>
      </w:r>
      <w:proofErr w:type="gramEnd"/>
      <w:r w:rsidRPr="00DF49D0">
        <w:rPr>
          <w:rFonts w:ascii="Trebuchet MS" w:eastAsia="Cambria" w:hAnsi="Trebuchet MS"/>
        </w:rPr>
        <w:t xml:space="preserve"> Vining, D Weimer. Cost-benefit analysis: concepts and practice. 2010. Prentice Hall, Upper Saddle River, NJ (fourth edition) </w:t>
      </w:r>
    </w:p>
    <w:p w14:paraId="4EC2AB28" w14:textId="00C78FA0" w:rsidR="00DF49D0" w:rsidRPr="00DF49D0" w:rsidRDefault="00DF49D0" w:rsidP="00DF49D0">
      <w:pPr>
        <w:pStyle w:val="Normal1"/>
        <w:spacing w:after="120"/>
        <w:rPr>
          <w:rFonts w:ascii="Trebuchet MS" w:eastAsia="Cambria" w:hAnsi="Trebuchet MS"/>
        </w:rPr>
      </w:pPr>
      <w:proofErr w:type="gramStart"/>
      <w:r w:rsidRPr="00DF49D0">
        <w:rPr>
          <w:rFonts w:ascii="Trebuchet MS" w:eastAsia="Cambria" w:hAnsi="Trebuchet MS"/>
        </w:rPr>
        <w:t>Council for Community and Economic Research.</w:t>
      </w:r>
      <w:proofErr w:type="gramEnd"/>
      <w:r w:rsidRPr="00DF49D0">
        <w:rPr>
          <w:rFonts w:ascii="Trebuchet MS" w:eastAsia="Cambria" w:hAnsi="Trebuchet MS"/>
        </w:rPr>
        <w:t xml:space="preserve"> 2013. </w:t>
      </w:r>
      <w:hyperlink r:id="rId14" w:history="1">
        <w:r w:rsidRPr="00DF49D0">
          <w:rPr>
            <w:rStyle w:val="Hyperlink"/>
            <w:rFonts w:ascii="Trebuchet MS" w:eastAsia="Cambria" w:hAnsi="Trebuchet MS"/>
          </w:rPr>
          <w:t>ACCRA cost of living index</w:t>
        </w:r>
      </w:hyperlink>
      <w:r w:rsidRPr="00DF49D0">
        <w:rPr>
          <w:rFonts w:ascii="Trebuchet MS" w:eastAsia="Cambria" w:hAnsi="Trebuchet MS"/>
        </w:rPr>
        <w:t>.</w:t>
      </w:r>
    </w:p>
    <w:p w14:paraId="6381ED82" w14:textId="47B512D4" w:rsidR="00DF49D0" w:rsidRPr="00DF49D0" w:rsidRDefault="00DF49D0" w:rsidP="00DF49D0">
      <w:pPr>
        <w:pStyle w:val="Normal1"/>
        <w:spacing w:after="120"/>
        <w:rPr>
          <w:rFonts w:ascii="Trebuchet MS" w:eastAsia="Cambria" w:hAnsi="Trebuchet MS"/>
        </w:rPr>
      </w:pPr>
      <w:proofErr w:type="gramStart"/>
      <w:r w:rsidRPr="00DF49D0">
        <w:rPr>
          <w:rFonts w:ascii="Trebuchet MS" w:eastAsia="Cambria" w:hAnsi="Trebuchet MS"/>
        </w:rPr>
        <w:t>New York City Department of Environmental Protection (Environmental Protection).</w:t>
      </w:r>
      <w:proofErr w:type="gramEnd"/>
      <w:r w:rsidRPr="00DF49D0">
        <w:rPr>
          <w:rFonts w:ascii="Trebuchet MS" w:eastAsia="Cambria" w:hAnsi="Trebuchet MS"/>
        </w:rPr>
        <w:t xml:space="preserve"> </w:t>
      </w:r>
      <w:proofErr w:type="gramStart"/>
      <w:r w:rsidRPr="00DF49D0">
        <w:rPr>
          <w:rFonts w:ascii="Trebuchet MS" w:eastAsia="Cambria" w:hAnsi="Trebuchet MS"/>
        </w:rPr>
        <w:t>2010. NYC Green Infrastructure Plan.</w:t>
      </w:r>
      <w:proofErr w:type="gramEnd"/>
      <w:r w:rsidRPr="00DF49D0">
        <w:rPr>
          <w:rFonts w:ascii="Trebuchet MS" w:eastAsia="Cambria" w:hAnsi="Trebuchet MS"/>
        </w:rPr>
        <w:t xml:space="preserve"> </w:t>
      </w:r>
    </w:p>
    <w:p w14:paraId="226853DA" w14:textId="5B6B8AB4" w:rsidR="00DF49D0" w:rsidRPr="00DF49D0" w:rsidRDefault="00DF49D0" w:rsidP="00DF49D0">
      <w:pPr>
        <w:pStyle w:val="Normal1"/>
        <w:spacing w:after="120"/>
        <w:rPr>
          <w:rFonts w:ascii="Trebuchet MS" w:eastAsia="Cambria" w:hAnsi="Trebuchet MS"/>
        </w:rPr>
      </w:pPr>
      <w:proofErr w:type="gramStart"/>
      <w:r w:rsidRPr="00DF49D0">
        <w:rPr>
          <w:rFonts w:ascii="Trebuchet MS" w:eastAsia="Cambria" w:hAnsi="Trebuchet MS"/>
        </w:rPr>
        <w:t>New York City Department of Environmental Protection (Environmental Protection).</w:t>
      </w:r>
      <w:proofErr w:type="gramEnd"/>
      <w:r w:rsidRPr="00DF49D0">
        <w:rPr>
          <w:rFonts w:ascii="Trebuchet MS" w:eastAsia="Cambria" w:hAnsi="Trebuchet MS"/>
        </w:rPr>
        <w:t xml:space="preserve"> </w:t>
      </w:r>
      <w:proofErr w:type="gramStart"/>
      <w:r w:rsidRPr="00DF49D0">
        <w:rPr>
          <w:rFonts w:ascii="Trebuchet MS" w:eastAsia="Cambria" w:hAnsi="Trebuchet MS"/>
        </w:rPr>
        <w:t>2012 and 2013.</w:t>
      </w:r>
      <w:proofErr w:type="gramEnd"/>
      <w:r w:rsidRPr="00DF49D0">
        <w:rPr>
          <w:rFonts w:ascii="Trebuchet MS" w:eastAsia="Cambria" w:hAnsi="Trebuchet MS"/>
        </w:rPr>
        <w:t xml:space="preserve"> </w:t>
      </w:r>
      <w:r w:rsidRPr="00DF49D0">
        <w:rPr>
          <w:rFonts w:ascii="Trebuchet MS" w:eastAsia="Cambria" w:hAnsi="Trebuchet MS"/>
          <w:bCs/>
        </w:rPr>
        <w:t>Green infrastructure annual reports.</w:t>
      </w:r>
    </w:p>
    <w:p w14:paraId="2CB4A9EF" w14:textId="2D1D62FF" w:rsidR="00DF49D0" w:rsidRPr="00DF49D0" w:rsidRDefault="00DF49D0" w:rsidP="00DF49D0">
      <w:pPr>
        <w:pStyle w:val="Normal1"/>
        <w:spacing w:after="120"/>
        <w:rPr>
          <w:rFonts w:ascii="Trebuchet MS" w:eastAsia="Cambria" w:hAnsi="Trebuchet MS"/>
        </w:rPr>
      </w:pPr>
      <w:proofErr w:type="gramStart"/>
      <w:r w:rsidRPr="00DF49D0">
        <w:rPr>
          <w:rFonts w:ascii="Trebuchet MS" w:eastAsia="Cambria" w:hAnsi="Trebuchet MS"/>
        </w:rPr>
        <w:t>New York City Department of Parks &amp; Recreation.</w:t>
      </w:r>
      <w:proofErr w:type="gramEnd"/>
      <w:r w:rsidRPr="00DF49D0">
        <w:rPr>
          <w:rFonts w:ascii="Trebuchet MS" w:eastAsia="Cambria" w:hAnsi="Trebuchet MS"/>
        </w:rPr>
        <w:t xml:space="preserve"> </w:t>
      </w:r>
      <w:proofErr w:type="spellStart"/>
      <w:proofErr w:type="gramStart"/>
      <w:r w:rsidRPr="00DF49D0">
        <w:rPr>
          <w:rFonts w:ascii="Trebuchet MS" w:eastAsia="Cambria" w:hAnsi="Trebuchet MS"/>
        </w:rPr>
        <w:t>nd</w:t>
      </w:r>
      <w:proofErr w:type="spellEnd"/>
      <w:proofErr w:type="gramEnd"/>
      <w:r w:rsidRPr="00DF49D0">
        <w:rPr>
          <w:rFonts w:ascii="Trebuchet MS" w:eastAsia="Cambria" w:hAnsi="Trebuchet MS"/>
        </w:rPr>
        <w:t xml:space="preserve">. Green infrastructure calculator. </w:t>
      </w:r>
    </w:p>
    <w:p w14:paraId="449156BE" w14:textId="4FC7553A" w:rsidR="00DF49D0" w:rsidRPr="00DF49D0" w:rsidRDefault="00DF49D0" w:rsidP="00DF49D0">
      <w:pPr>
        <w:pStyle w:val="Normal1"/>
        <w:spacing w:after="120"/>
        <w:rPr>
          <w:rFonts w:ascii="Trebuchet MS" w:eastAsia="Cambria" w:hAnsi="Trebuchet MS"/>
        </w:rPr>
      </w:pPr>
      <w:proofErr w:type="gramStart"/>
      <w:r w:rsidRPr="00DF49D0">
        <w:rPr>
          <w:rFonts w:ascii="Trebuchet MS" w:eastAsia="Cambria" w:hAnsi="Trebuchet MS"/>
        </w:rPr>
        <w:t>New York City Department of Transportation.</w:t>
      </w:r>
      <w:proofErr w:type="gramEnd"/>
      <w:r w:rsidRPr="00DF49D0">
        <w:rPr>
          <w:rFonts w:ascii="Trebuchet MS" w:eastAsia="Cambria" w:hAnsi="Trebuchet MS"/>
        </w:rPr>
        <w:t xml:space="preserve"> </w:t>
      </w:r>
      <w:proofErr w:type="spellStart"/>
      <w:proofErr w:type="gramStart"/>
      <w:r w:rsidRPr="00DF49D0">
        <w:rPr>
          <w:rFonts w:ascii="Trebuchet MS" w:eastAsia="Cambria" w:hAnsi="Trebuchet MS"/>
        </w:rPr>
        <w:t>nd</w:t>
      </w:r>
      <w:proofErr w:type="spellEnd"/>
      <w:proofErr w:type="gramEnd"/>
      <w:r w:rsidRPr="00DF49D0">
        <w:rPr>
          <w:rFonts w:ascii="Trebuchet MS" w:eastAsia="Cambria" w:hAnsi="Trebuchet MS"/>
        </w:rPr>
        <w:t>. Green infrastructure calculator.</w:t>
      </w:r>
    </w:p>
    <w:p w14:paraId="16B997E9" w14:textId="77777777" w:rsidR="00DF49D0" w:rsidRPr="00DF49D0" w:rsidRDefault="00DF49D0" w:rsidP="00DF49D0">
      <w:pPr>
        <w:pStyle w:val="Normal1"/>
        <w:spacing w:after="120"/>
        <w:rPr>
          <w:rFonts w:ascii="Trebuchet MS" w:eastAsia="Cambria" w:hAnsi="Trebuchet MS"/>
        </w:rPr>
      </w:pPr>
      <w:r w:rsidRPr="00DF49D0">
        <w:rPr>
          <w:rFonts w:ascii="Trebuchet MS" w:eastAsia="Cambria" w:hAnsi="Trebuchet MS"/>
        </w:rPr>
        <w:t xml:space="preserve">New York State Department of Transportation, Technical Services Division. 2001. Comprehensive pavement design manual, engineering bulletin 01-017. </w:t>
      </w:r>
    </w:p>
    <w:p w14:paraId="3A16E0D4" w14:textId="77777777" w:rsidR="00DF49D0" w:rsidRPr="00492095" w:rsidRDefault="00DF49D0">
      <w:pPr>
        <w:pStyle w:val="Normal1"/>
        <w:spacing w:after="120"/>
        <w:rPr>
          <w:rFonts w:ascii="Trebuchet MS" w:eastAsia="Cambria" w:hAnsi="Trebuchet MS"/>
          <w:sz w:val="24"/>
        </w:rPr>
      </w:pPr>
    </w:p>
    <w:sectPr w:rsidR="00DF49D0" w:rsidRPr="00492095" w:rsidSect="00190FCA">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E1DB0" w14:textId="77777777" w:rsidR="00190FCA" w:rsidRDefault="00190FCA" w:rsidP="00B54EE0">
      <w:r>
        <w:separator/>
      </w:r>
    </w:p>
  </w:endnote>
  <w:endnote w:type="continuationSeparator" w:id="0">
    <w:p w14:paraId="36508175" w14:textId="77777777" w:rsidR="00190FCA" w:rsidRDefault="00190FCA" w:rsidP="00B5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Galaxie Polaris Medium">
    <w:altName w:val="Cambria"/>
    <w:panose1 w:val="00000000000000000000"/>
    <w:charset w:val="4D"/>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E0C03" w14:textId="77777777" w:rsidR="00190FCA" w:rsidRDefault="00190FCA" w:rsidP="00B54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095">
      <w:rPr>
        <w:rStyle w:val="PageNumber"/>
        <w:noProof/>
      </w:rPr>
      <w:t>16</w:t>
    </w:r>
    <w:r>
      <w:rPr>
        <w:rStyle w:val="PageNumber"/>
      </w:rPr>
      <w:fldChar w:fldCharType="end"/>
    </w:r>
  </w:p>
  <w:p w14:paraId="609FAD33" w14:textId="77777777" w:rsidR="00190FCA" w:rsidRDefault="00190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77982" w14:textId="77777777" w:rsidR="00190FCA" w:rsidRDefault="00190FCA" w:rsidP="00B54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095">
      <w:rPr>
        <w:rStyle w:val="PageNumber"/>
        <w:noProof/>
      </w:rPr>
      <w:t>17</w:t>
    </w:r>
    <w:r>
      <w:rPr>
        <w:rStyle w:val="PageNumber"/>
      </w:rPr>
      <w:fldChar w:fldCharType="end"/>
    </w:r>
  </w:p>
  <w:p w14:paraId="156D53CF" w14:textId="77777777" w:rsidR="00190FCA" w:rsidRDefault="0019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5B17B" w14:textId="77777777" w:rsidR="00190FCA" w:rsidRDefault="00190FCA" w:rsidP="00B54EE0">
      <w:r>
        <w:separator/>
      </w:r>
    </w:p>
  </w:footnote>
  <w:footnote w:type="continuationSeparator" w:id="0">
    <w:p w14:paraId="1BDBED6F" w14:textId="77777777" w:rsidR="00190FCA" w:rsidRDefault="00190FCA" w:rsidP="00B54EE0">
      <w:r>
        <w:continuationSeparator/>
      </w:r>
    </w:p>
  </w:footnote>
  <w:footnote w:id="1">
    <w:p w14:paraId="2702BD54" w14:textId="0A8A61A9" w:rsidR="00190FCA" w:rsidRDefault="00190FCA">
      <w:pPr>
        <w:pStyle w:val="FootnoteText"/>
      </w:pPr>
      <w:r>
        <w:rPr>
          <w:rStyle w:val="FootnoteReference"/>
        </w:rPr>
        <w:footnoteRef/>
      </w:r>
      <w:r>
        <w:t xml:space="preserve"> </w:t>
      </w:r>
      <w:proofErr w:type="gramStart"/>
      <w:r w:rsidRPr="00492095">
        <w:rPr>
          <w:rFonts w:ascii="Trebuchet MS" w:hAnsi="Trebuchet MS"/>
          <w:sz w:val="18"/>
        </w:rPr>
        <w:t>The Port Authority of New York and New Jersey.</w:t>
      </w:r>
      <w:proofErr w:type="gramEnd"/>
    </w:p>
  </w:footnote>
  <w:footnote w:id="2">
    <w:p w14:paraId="163B64D6" w14:textId="78306C99" w:rsidR="00190FCA" w:rsidRPr="00492095" w:rsidRDefault="00190FCA">
      <w:pPr>
        <w:pStyle w:val="FootnoteText"/>
        <w:rPr>
          <w:rFonts w:ascii="Trebuchet MS" w:hAnsi="Trebuchet MS"/>
        </w:rPr>
      </w:pPr>
      <w:r w:rsidRPr="00492095">
        <w:rPr>
          <w:rStyle w:val="FootnoteReference"/>
          <w:rFonts w:ascii="Trebuchet MS" w:hAnsi="Trebuchet MS"/>
        </w:rPr>
        <w:footnoteRef/>
      </w:r>
      <w:r w:rsidRPr="00492095">
        <w:rPr>
          <w:rFonts w:ascii="Trebuchet MS" w:hAnsi="Trebuchet MS"/>
        </w:rPr>
        <w:t xml:space="preserve"> </w:t>
      </w:r>
      <w:r w:rsidRPr="00492095">
        <w:rPr>
          <w:rFonts w:ascii="Trebuchet MS" w:hAnsi="Trebuchet MS"/>
          <w:sz w:val="18"/>
        </w:rPr>
        <w:t>Collaboration would provide real value to any capital analysis by bringing subject-matter expertise to the table.</w:t>
      </w:r>
    </w:p>
  </w:footnote>
  <w:footnote w:id="3">
    <w:p w14:paraId="27F0B04B" w14:textId="77777777" w:rsidR="00190FCA" w:rsidRDefault="00190FCA" w:rsidP="00B54EE0">
      <w:pPr>
        <w:pStyle w:val="Normal1"/>
      </w:pPr>
      <w:r>
        <w:rPr>
          <w:vertAlign w:val="superscript"/>
        </w:rPr>
        <w:footnoteRef/>
      </w:r>
      <w:r>
        <w:t xml:space="preserve"> </w:t>
      </w:r>
      <w:r>
        <w:rPr>
          <w:sz w:val="16"/>
        </w:rPr>
        <w:t xml:space="preserve">Adapted from the New York State Department of Transportation’s </w:t>
      </w:r>
      <w:r>
        <w:rPr>
          <w:i/>
          <w:sz w:val="16"/>
        </w:rPr>
        <w:t>Comprehensive Pavement Design Manual</w:t>
      </w:r>
      <w:r>
        <w:rPr>
          <w:sz w:val="16"/>
        </w:rPr>
        <w:t>.</w:t>
      </w:r>
    </w:p>
  </w:footnote>
  <w:footnote w:id="4">
    <w:p w14:paraId="04C83856" w14:textId="77777777" w:rsidR="00190FCA" w:rsidRDefault="00190FCA" w:rsidP="00D25BDC">
      <w:pPr>
        <w:pStyle w:val="Normal1"/>
        <w:spacing w:line="240" w:lineRule="auto"/>
      </w:pPr>
      <w:r>
        <w:rPr>
          <w:vertAlign w:val="superscript"/>
        </w:rPr>
        <w:footnoteRef/>
      </w:r>
      <w:r>
        <w:rPr>
          <w:sz w:val="20"/>
        </w:rPr>
        <w:t xml:space="preserve"> </w:t>
      </w:r>
      <w:r>
        <w:rPr>
          <w:rFonts w:ascii="Cambria" w:eastAsia="Cambria" w:hAnsi="Cambria" w:cs="Cambria"/>
          <w:sz w:val="16"/>
          <w:highlight w:val="white"/>
        </w:rPr>
        <w:t>Also from the guidebook: “Returns on public investment result from improved infrastructure, employment, sales, income and sales taxes, and benefits to local economies. Relationships among these factors are complex. Studies show that over time the discount rate is about 4 percent.”</w:t>
      </w:r>
    </w:p>
  </w:footnote>
  <w:footnote w:id="5">
    <w:p w14:paraId="0F3A6E06" w14:textId="25EF7005" w:rsidR="00190FCA" w:rsidRDefault="00190FCA">
      <w:pPr>
        <w:pStyle w:val="FootnoteText"/>
      </w:pPr>
      <w:r>
        <w:rPr>
          <w:rStyle w:val="FootnoteReference"/>
        </w:rPr>
        <w:footnoteRef/>
      </w:r>
      <w:r>
        <w:t xml:space="preserve"> </w:t>
      </w:r>
      <w:r w:rsidRPr="000B7233">
        <w:rPr>
          <w:sz w:val="18"/>
          <w:szCs w:val="18"/>
        </w:rPr>
        <w:t>Port authority’s runway slides.</w:t>
      </w:r>
      <w:r>
        <w:t xml:space="preserve"> </w:t>
      </w:r>
    </w:p>
  </w:footnote>
  <w:footnote w:id="6">
    <w:p w14:paraId="51564B4B" w14:textId="5490CFE4" w:rsidR="00190FCA" w:rsidRPr="00492095" w:rsidRDefault="00190FCA" w:rsidP="00492095">
      <w:pPr>
        <w:pStyle w:val="Normal1"/>
        <w:rPr>
          <w:rFonts w:ascii="Trebuchet MS" w:hAnsi="Trebuchet MS"/>
          <w:sz w:val="18"/>
        </w:rPr>
      </w:pPr>
      <w:r w:rsidRPr="00B174AC">
        <w:rPr>
          <w:rStyle w:val="FootnoteReference"/>
        </w:rPr>
        <w:footnoteRef/>
      </w:r>
      <w:r w:rsidRPr="003A0CD0">
        <w:t xml:space="preserve"> </w:t>
      </w:r>
      <w:r w:rsidRPr="00492095">
        <w:rPr>
          <w:rFonts w:ascii="Trebuchet MS" w:eastAsia="Cambria" w:hAnsi="Trebuchet MS"/>
          <w:sz w:val="18"/>
          <w:highlight w:val="white"/>
        </w:rPr>
        <w:t>A note of caution: the City has built hundreds of green installations identified as either “</w:t>
      </w:r>
      <w:proofErr w:type="spellStart"/>
      <w:r w:rsidRPr="00492095">
        <w:rPr>
          <w:rFonts w:ascii="Trebuchet MS" w:eastAsia="Cambria" w:hAnsi="Trebuchet MS"/>
          <w:sz w:val="18"/>
          <w:highlight w:val="white"/>
        </w:rPr>
        <w:t>bioswales</w:t>
      </w:r>
      <w:proofErr w:type="spellEnd"/>
      <w:r w:rsidRPr="00492095">
        <w:rPr>
          <w:rFonts w:ascii="Trebuchet MS" w:eastAsia="Cambria" w:hAnsi="Trebuchet MS"/>
          <w:sz w:val="18"/>
          <w:highlight w:val="white"/>
        </w:rPr>
        <w:t>” or “</w:t>
      </w:r>
      <w:proofErr w:type="spellStart"/>
      <w:r w:rsidRPr="00492095">
        <w:rPr>
          <w:rFonts w:ascii="Trebuchet MS" w:eastAsia="Cambria" w:hAnsi="Trebuchet MS"/>
          <w:sz w:val="18"/>
          <w:highlight w:val="white"/>
        </w:rPr>
        <w:t>greenstreets</w:t>
      </w:r>
      <w:proofErr w:type="spellEnd"/>
      <w:r w:rsidRPr="00492095">
        <w:rPr>
          <w:rFonts w:ascii="Trebuchet MS" w:eastAsia="Cambria" w:hAnsi="Trebuchet MS"/>
          <w:sz w:val="18"/>
          <w:highlight w:val="white"/>
        </w:rPr>
        <w:t xml:space="preserve">”; most, to date, have been </w:t>
      </w:r>
      <w:proofErr w:type="spellStart"/>
      <w:r w:rsidRPr="00492095">
        <w:rPr>
          <w:rFonts w:ascii="Trebuchet MS" w:eastAsia="Cambria" w:hAnsi="Trebuchet MS"/>
          <w:sz w:val="18"/>
          <w:highlight w:val="white"/>
        </w:rPr>
        <w:t>greenstreets</w:t>
      </w:r>
      <w:proofErr w:type="spellEnd"/>
      <w:r w:rsidRPr="00492095">
        <w:rPr>
          <w:rFonts w:ascii="Trebuchet MS" w:eastAsia="Cambria" w:hAnsi="Trebuchet MS"/>
          <w:sz w:val="18"/>
          <w:highlight w:val="white"/>
        </w:rPr>
        <w:t xml:space="preserve">, but most going forward would — under plans as of late 2013 — be </w:t>
      </w:r>
      <w:proofErr w:type="spellStart"/>
      <w:r w:rsidRPr="00492095">
        <w:rPr>
          <w:rFonts w:ascii="Trebuchet MS" w:eastAsia="Cambria" w:hAnsi="Trebuchet MS"/>
          <w:sz w:val="18"/>
          <w:highlight w:val="white"/>
        </w:rPr>
        <w:t>bioswales</w:t>
      </w:r>
      <w:proofErr w:type="spellEnd"/>
      <w:r w:rsidRPr="00492095">
        <w:rPr>
          <w:rFonts w:ascii="Trebuchet MS" w:eastAsia="Cambria" w:hAnsi="Trebuchet MS"/>
          <w:sz w:val="18"/>
          <w:highlight w:val="white"/>
        </w:rPr>
        <w:t xml:space="preserve">. This analysis focuses on </w:t>
      </w:r>
      <w:proofErr w:type="spellStart"/>
      <w:r w:rsidRPr="00492095">
        <w:rPr>
          <w:rFonts w:ascii="Trebuchet MS" w:eastAsia="Cambria" w:hAnsi="Trebuchet MS"/>
          <w:sz w:val="18"/>
          <w:highlight w:val="white"/>
        </w:rPr>
        <w:t>bioswales</w:t>
      </w:r>
      <w:proofErr w:type="spellEnd"/>
      <w:r w:rsidRPr="00492095">
        <w:rPr>
          <w:rFonts w:ascii="Trebuchet MS" w:eastAsia="Cambria" w:hAnsi="Trebuchet MS"/>
          <w:sz w:val="18"/>
          <w:highlight w:val="white"/>
        </w:rPr>
        <w:t xml:space="preserve"> in their new form — as designed to capture storm</w:t>
      </w:r>
      <w:r>
        <w:rPr>
          <w:rFonts w:ascii="Trebuchet MS" w:eastAsia="Cambria" w:hAnsi="Trebuchet MS"/>
          <w:sz w:val="18"/>
          <w:highlight w:val="white"/>
        </w:rPr>
        <w:t xml:space="preserve"> </w:t>
      </w:r>
      <w:r w:rsidRPr="00492095">
        <w:rPr>
          <w:rFonts w:ascii="Trebuchet MS" w:eastAsia="Cambria" w:hAnsi="Trebuchet MS"/>
          <w:sz w:val="18"/>
          <w:highlight w:val="white"/>
        </w:rPr>
        <w:t xml:space="preserve">water. </w:t>
      </w:r>
    </w:p>
  </w:footnote>
  <w:footnote w:id="7">
    <w:p w14:paraId="57A86FBA" w14:textId="0E47E7D2" w:rsidR="00190FCA" w:rsidRPr="00492095" w:rsidRDefault="00190FCA">
      <w:pPr>
        <w:pStyle w:val="FootnoteText"/>
        <w:rPr>
          <w:rFonts w:ascii="Trebuchet MS" w:hAnsi="Trebuchet MS"/>
        </w:rPr>
      </w:pPr>
      <w:r w:rsidRPr="00492095">
        <w:rPr>
          <w:rStyle w:val="FootnoteReference"/>
          <w:rFonts w:ascii="Trebuchet MS" w:hAnsi="Trebuchet MS"/>
        </w:rPr>
        <w:footnoteRef/>
      </w:r>
      <w:r w:rsidRPr="00492095">
        <w:rPr>
          <w:rFonts w:ascii="Trebuchet MS" w:hAnsi="Trebuchet MS"/>
        </w:rPr>
        <w:t xml:space="preserve"> </w:t>
      </w:r>
      <w:hyperlink r:id="rId1" w:anchor=".UwDofUJdWPY" w:history="1">
        <w:r w:rsidRPr="00492095">
          <w:rPr>
            <w:rStyle w:val="Hyperlink"/>
            <w:rFonts w:ascii="Trebuchet MS" w:hAnsi="Trebuchet MS"/>
            <w:sz w:val="18"/>
            <w:szCs w:val="18"/>
          </w:rPr>
          <w:t>http://www.nyc.gov/html/dep/html/press_releases/11-99pr.shtml#.UwDofUJdWPY</w:t>
        </w:r>
      </w:hyperlink>
      <w:r w:rsidRPr="00492095">
        <w:rPr>
          <w:rFonts w:ascii="Trebuchet MS" w:hAnsi="Trebuchet MS"/>
          <w:sz w:val="18"/>
          <w:szCs w:val="18"/>
        </w:rPr>
        <w:t>.</w:t>
      </w:r>
      <w:r w:rsidRPr="00492095">
        <w:rPr>
          <w:rFonts w:ascii="Trebuchet MS" w:hAnsi="Trebuchet MS"/>
        </w:rPr>
        <w:t xml:space="preserve"> </w:t>
      </w:r>
    </w:p>
  </w:footnote>
  <w:footnote w:id="8">
    <w:p w14:paraId="47225A9C" w14:textId="15DB801B" w:rsidR="00190FCA" w:rsidRDefault="00190FCA">
      <w:pPr>
        <w:pStyle w:val="FootnoteText"/>
      </w:pPr>
      <w:r w:rsidRPr="00492095">
        <w:rPr>
          <w:rStyle w:val="FootnoteReference"/>
          <w:rFonts w:ascii="Trebuchet MS" w:hAnsi="Trebuchet MS"/>
        </w:rPr>
        <w:footnoteRef/>
      </w:r>
      <w:r w:rsidRPr="00492095">
        <w:rPr>
          <w:rFonts w:ascii="Trebuchet MS" w:hAnsi="Trebuchet MS"/>
        </w:rPr>
        <w:t xml:space="preserve"> </w:t>
      </w:r>
      <w:proofErr w:type="gramStart"/>
      <w:r w:rsidRPr="00492095">
        <w:rPr>
          <w:rFonts w:ascii="Trebuchet MS" w:hAnsi="Trebuchet MS"/>
          <w:sz w:val="18"/>
          <w:szCs w:val="18"/>
        </w:rPr>
        <w:t xml:space="preserve">The </w:t>
      </w:r>
      <w:r w:rsidRPr="00492095">
        <w:rPr>
          <w:rStyle w:val="A5"/>
          <w:rFonts w:ascii="Trebuchet MS" w:hAnsi="Trebuchet MS" w:cs="Arial"/>
        </w:rPr>
        <w:t>corners of Hollis Avenue &amp; 209th Street and Linden Boulevard &amp; 204th Street.</w:t>
      </w:r>
      <w:proofErr w:type="gramEnd"/>
    </w:p>
  </w:footnote>
  <w:footnote w:id="9">
    <w:p w14:paraId="626FBC52" w14:textId="77777777" w:rsidR="00190FCA" w:rsidRDefault="00190FCA" w:rsidP="00B54EE0">
      <w:pPr>
        <w:pStyle w:val="Normal1"/>
        <w:spacing w:line="240" w:lineRule="auto"/>
      </w:pPr>
      <w:r>
        <w:rPr>
          <w:vertAlign w:val="superscript"/>
        </w:rPr>
        <w:footnoteRef/>
      </w:r>
      <w:r>
        <w:rPr>
          <w:sz w:val="20"/>
        </w:rPr>
        <w:t xml:space="preserve"> </w:t>
      </w:r>
      <w:r>
        <w:rPr>
          <w:rFonts w:ascii="Cambria" w:eastAsia="Cambria" w:hAnsi="Cambria" w:cs="Cambria"/>
          <w:sz w:val="16"/>
        </w:rPr>
        <w:t>The department’s seminal Green Infrastructure Plan from 2011 identifies a cost of $36,500 (2011 dollars) and breaks it into parts per design stage. This project adjusts that number upward slightly to account for two years of inflation at 2 percent per year.</w:t>
      </w:r>
    </w:p>
  </w:footnote>
  <w:footnote w:id="10">
    <w:p w14:paraId="73987BC3" w14:textId="77777777" w:rsidR="00190FCA" w:rsidRDefault="00190FCA" w:rsidP="00B54EE0">
      <w:pPr>
        <w:pStyle w:val="Normal1"/>
        <w:spacing w:line="240" w:lineRule="auto"/>
      </w:pPr>
      <w:r>
        <w:rPr>
          <w:vertAlign w:val="superscript"/>
        </w:rPr>
        <w:footnoteRef/>
      </w:r>
      <w:r>
        <w:rPr>
          <w:sz w:val="20"/>
        </w:rPr>
        <w:t xml:space="preserve"> </w:t>
      </w:r>
      <w:r>
        <w:rPr>
          <w:rFonts w:ascii="Cambria" w:eastAsia="Cambria" w:hAnsi="Cambria" w:cs="Cambria"/>
          <w:sz w:val="16"/>
          <w:highlight w:val="white"/>
        </w:rPr>
        <w:t xml:space="preserve">This news might trouble policy makers, who are being asked to fund construction of nearly two thousand </w:t>
      </w:r>
      <w:proofErr w:type="spellStart"/>
      <w:r>
        <w:rPr>
          <w:rFonts w:ascii="Cambria" w:eastAsia="Cambria" w:hAnsi="Cambria" w:cs="Cambria"/>
          <w:sz w:val="16"/>
          <w:highlight w:val="white"/>
        </w:rPr>
        <w:t>bioswales</w:t>
      </w:r>
      <w:proofErr w:type="spellEnd"/>
      <w:r>
        <w:rPr>
          <w:rFonts w:ascii="Cambria" w:eastAsia="Cambria" w:hAnsi="Cambria" w:cs="Cambria"/>
          <w:sz w:val="16"/>
          <w:highlight w:val="white"/>
        </w:rPr>
        <w:t xml:space="preserve"> in a short amount of time.</w:t>
      </w:r>
    </w:p>
  </w:footnote>
  <w:footnote w:id="11">
    <w:p w14:paraId="3BD0F036" w14:textId="77777777" w:rsidR="00190FCA" w:rsidRDefault="00190FCA" w:rsidP="00B54EE0">
      <w:pPr>
        <w:pStyle w:val="Normal1"/>
        <w:spacing w:line="240" w:lineRule="auto"/>
      </w:pPr>
      <w:r>
        <w:rPr>
          <w:vertAlign w:val="superscript"/>
        </w:rPr>
        <w:footnoteRef/>
      </w:r>
      <w:r>
        <w:rPr>
          <w:sz w:val="20"/>
        </w:rPr>
        <w:t xml:space="preserve"> </w:t>
      </w:r>
      <w:proofErr w:type="spellStart"/>
      <w:r>
        <w:rPr>
          <w:rFonts w:ascii="Cambria" w:eastAsia="Cambria" w:hAnsi="Cambria" w:cs="Cambria"/>
          <w:sz w:val="16"/>
        </w:rPr>
        <w:t>Juon</w:t>
      </w:r>
      <w:proofErr w:type="spellEnd"/>
      <w:r>
        <w:rPr>
          <w:rFonts w:ascii="Cambria" w:eastAsia="Cambria" w:hAnsi="Cambria" w:cs="Cambria"/>
          <w:sz w:val="16"/>
        </w:rPr>
        <w:t xml:space="preserve">, M. Dec 5, 2014. </w:t>
      </w:r>
      <w:proofErr w:type="gramStart"/>
      <w:r>
        <w:rPr>
          <w:rFonts w:ascii="Cambria" w:eastAsia="Cambria" w:hAnsi="Cambria" w:cs="Cambria"/>
          <w:sz w:val="16"/>
        </w:rPr>
        <w:t>City of Portland Environmental Services.</w:t>
      </w:r>
      <w:proofErr w:type="gramEnd"/>
      <w:r>
        <w:rPr>
          <w:rFonts w:ascii="Cambria" w:eastAsia="Cambria" w:hAnsi="Cambria" w:cs="Cambria"/>
          <w:sz w:val="16"/>
        </w:rPr>
        <w:t xml:space="preserve"> Email to the author. </w:t>
      </w:r>
    </w:p>
  </w:footnote>
  <w:footnote w:id="12">
    <w:p w14:paraId="795933C2" w14:textId="558DD35A" w:rsidR="00190FCA" w:rsidRDefault="00190FCA">
      <w:pPr>
        <w:pStyle w:val="FootnoteText"/>
      </w:pPr>
      <w:r>
        <w:rPr>
          <w:rStyle w:val="FootnoteReference"/>
        </w:rPr>
        <w:footnoteRef/>
      </w:r>
      <w:r>
        <w:t xml:space="preserve"> </w:t>
      </w:r>
      <w:r w:rsidRPr="00492095">
        <w:rPr>
          <w:sz w:val="18"/>
        </w:rPr>
        <w:t xml:space="preserve">Adjusted using the </w:t>
      </w:r>
      <w:r>
        <w:rPr>
          <w:bCs/>
          <w:sz w:val="18"/>
        </w:rPr>
        <w:t>ACCRA cost of living i</w:t>
      </w:r>
      <w:r w:rsidRPr="00492095">
        <w:rPr>
          <w:bCs/>
          <w:sz w:val="18"/>
        </w:rPr>
        <w:t>ndex</w:t>
      </w:r>
      <w:r w:rsidRPr="00492095">
        <w:rPr>
          <w:sz w:val="18"/>
        </w:rPr>
        <w:t> </w:t>
      </w:r>
      <w:r>
        <w:rPr>
          <w:sz w:val="18"/>
        </w:rPr>
        <w:t>compiled by</w:t>
      </w:r>
      <w:r w:rsidRPr="00492095">
        <w:rPr>
          <w:sz w:val="18"/>
        </w:rPr>
        <w:t xml:space="preserve"> the Council for Community and Economic Research.</w:t>
      </w:r>
    </w:p>
  </w:footnote>
  <w:footnote w:id="13">
    <w:p w14:paraId="599C1192" w14:textId="77777777" w:rsidR="00190FCA" w:rsidRDefault="00190FCA" w:rsidP="00B54EE0">
      <w:pPr>
        <w:pStyle w:val="Normal1"/>
        <w:spacing w:line="240" w:lineRule="auto"/>
      </w:pPr>
      <w:r>
        <w:rPr>
          <w:vertAlign w:val="superscript"/>
        </w:rPr>
        <w:footnoteRef/>
      </w:r>
      <w:r>
        <w:rPr>
          <w:sz w:val="20"/>
        </w:rPr>
        <w:t xml:space="preserve"> </w:t>
      </w:r>
      <w:proofErr w:type="spellStart"/>
      <w:r>
        <w:rPr>
          <w:rFonts w:ascii="Cambria" w:eastAsia="Cambria" w:hAnsi="Cambria" w:cs="Cambria"/>
          <w:sz w:val="16"/>
          <w:highlight w:val="white"/>
        </w:rPr>
        <w:t>Kesterson</w:t>
      </w:r>
      <w:proofErr w:type="spellEnd"/>
      <w:r>
        <w:rPr>
          <w:rFonts w:ascii="Cambria" w:eastAsia="Cambria" w:hAnsi="Cambria" w:cs="Cambria"/>
          <w:sz w:val="16"/>
          <w:highlight w:val="white"/>
        </w:rPr>
        <w:t xml:space="preserve">, B. Nov 20, 2014. City of Portland Bureau of Environmental Services (retired). Phone call with the author. </w:t>
      </w:r>
    </w:p>
  </w:footnote>
  <w:footnote w:id="14">
    <w:p w14:paraId="03D7209B" w14:textId="318BAFF5" w:rsidR="00190FCA" w:rsidRDefault="00190FCA">
      <w:pPr>
        <w:pStyle w:val="FootnoteText"/>
      </w:pPr>
      <w:r>
        <w:rPr>
          <w:rStyle w:val="FootnoteReference"/>
        </w:rPr>
        <w:footnoteRef/>
      </w:r>
      <w:r>
        <w:t xml:space="preserve"> </w:t>
      </w:r>
      <w:r w:rsidRPr="00492095">
        <w:rPr>
          <w:sz w:val="18"/>
        </w:rPr>
        <w:t>These benefits are sometimes referred to as co-benefits.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4A385" w14:textId="1A06CA55" w:rsidR="00BE11CB" w:rsidRDefault="00BE11CB">
    <w:pPr>
      <w:pStyle w:val="Header"/>
    </w:pPr>
    <w:r>
      <w:ptab w:relativeTo="margin" w:alignment="center" w:leader="none"/>
    </w:r>
    <w:r w:rsidRPr="004D5FB6">
      <w:rPr>
        <w:sz w:val="22"/>
      </w:rPr>
      <w:t>Life-cycle cost analysis &amp; green infrastructure in New York City</w:t>
    </w:r>
    <w:r>
      <w:ptab w:relativeTo="margin" w:alignment="right" w:leader="none"/>
    </w:r>
  </w:p>
  <w:p w14:paraId="683B6ABA" w14:textId="77777777" w:rsidR="00BE11CB" w:rsidRDefault="00BE1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7DA8" w14:textId="5353DB15" w:rsidR="00BE11CB" w:rsidRPr="00492095" w:rsidRDefault="00BE11CB">
    <w:pPr>
      <w:pStyle w:val="Header"/>
      <w:rPr>
        <w:sz w:val="40"/>
      </w:rPr>
    </w:pPr>
    <w:r w:rsidRPr="00492095">
      <w:rPr>
        <w:sz w:val="22"/>
      </w:rPr>
      <w:ptab w:relativeTo="margin" w:alignment="center" w:leader="none"/>
    </w:r>
    <w:r w:rsidRPr="00492095">
      <w:rPr>
        <w:sz w:val="22"/>
      </w:rPr>
      <w:t>Life-cycle cost analysis &amp; green infrastructure in New York City</w:t>
    </w:r>
    <w:r w:rsidRPr="00492095">
      <w:rPr>
        <w:rFonts w:ascii="Trebuchet MS" w:hAnsi="Trebuchet MS" w:cs="Arial"/>
        <w:b/>
        <w:sz w:val="36"/>
        <w:szCs w:val="36"/>
      </w:rPr>
      <w:t xml:space="preserve"> </w:t>
    </w:r>
    <w:r w:rsidRPr="00492095">
      <w:rPr>
        <w:sz w:val="40"/>
      </w:rPr>
      <w:ptab w:relativeTo="margin" w:alignment="right" w:leader="none"/>
    </w:r>
  </w:p>
  <w:p w14:paraId="4EDE55F6" w14:textId="77777777" w:rsidR="00BE11CB" w:rsidRDefault="00BE1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E87E" w14:textId="62CA0167" w:rsidR="00190FCA" w:rsidRPr="009A0924" w:rsidRDefault="00190FCA" w:rsidP="00492095">
    <w:pPr>
      <w:pStyle w:val="Header"/>
      <w:rPr>
        <w:b/>
        <w:color w:val="FF0000"/>
        <w:sz w:val="36"/>
        <w:szCs w:val="36"/>
      </w:rPr>
    </w:pPr>
  </w:p>
  <w:p w14:paraId="2A357ABF" w14:textId="77777777" w:rsidR="00190FCA" w:rsidRDefault="0019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0177E"/>
    <w:multiLevelType w:val="hybridMultilevel"/>
    <w:tmpl w:val="D64E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5A50C0"/>
    <w:multiLevelType w:val="hybridMultilevel"/>
    <w:tmpl w:val="467EC6C2"/>
    <w:lvl w:ilvl="0" w:tplc="76E4A174">
      <w:numFmt w:val="bullet"/>
      <w:lvlText w:val="•"/>
      <w:lvlJc w:val="left"/>
      <w:pPr>
        <w:ind w:left="720" w:hanging="360"/>
      </w:pPr>
      <w:rPr>
        <w:rFonts w:ascii="Calibri Light" w:eastAsiaTheme="minorEastAsia" w:hAnsi="Calibri Light"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revisionView w:markup="0"/>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E0"/>
    <w:rsid w:val="000B6647"/>
    <w:rsid w:val="000B7233"/>
    <w:rsid w:val="000C4CB0"/>
    <w:rsid w:val="00117D7F"/>
    <w:rsid w:val="00151879"/>
    <w:rsid w:val="00154ADA"/>
    <w:rsid w:val="0016071E"/>
    <w:rsid w:val="001776A6"/>
    <w:rsid w:val="00180C9E"/>
    <w:rsid w:val="00190FCA"/>
    <w:rsid w:val="00226F21"/>
    <w:rsid w:val="00245AAB"/>
    <w:rsid w:val="00254F84"/>
    <w:rsid w:val="002A2170"/>
    <w:rsid w:val="002A4899"/>
    <w:rsid w:val="002B12C6"/>
    <w:rsid w:val="00362BA5"/>
    <w:rsid w:val="003A0CD0"/>
    <w:rsid w:val="003D7214"/>
    <w:rsid w:val="003E06AA"/>
    <w:rsid w:val="0046493E"/>
    <w:rsid w:val="00492095"/>
    <w:rsid w:val="00493FBA"/>
    <w:rsid w:val="004B7F3A"/>
    <w:rsid w:val="00517FC8"/>
    <w:rsid w:val="00552D1E"/>
    <w:rsid w:val="00590612"/>
    <w:rsid w:val="00603D0C"/>
    <w:rsid w:val="00624BDE"/>
    <w:rsid w:val="006419E6"/>
    <w:rsid w:val="00754024"/>
    <w:rsid w:val="007C0BC0"/>
    <w:rsid w:val="008355C2"/>
    <w:rsid w:val="0084508D"/>
    <w:rsid w:val="00866D16"/>
    <w:rsid w:val="008A311F"/>
    <w:rsid w:val="008B0C4E"/>
    <w:rsid w:val="008B2BB0"/>
    <w:rsid w:val="008F4B54"/>
    <w:rsid w:val="009234A2"/>
    <w:rsid w:val="009A0924"/>
    <w:rsid w:val="009F5FC3"/>
    <w:rsid w:val="00A51F85"/>
    <w:rsid w:val="00A81A5A"/>
    <w:rsid w:val="00AA7F6F"/>
    <w:rsid w:val="00AD1B62"/>
    <w:rsid w:val="00AD3123"/>
    <w:rsid w:val="00AD366F"/>
    <w:rsid w:val="00AD5BDC"/>
    <w:rsid w:val="00AF14F6"/>
    <w:rsid w:val="00AF368E"/>
    <w:rsid w:val="00B174AC"/>
    <w:rsid w:val="00B2084D"/>
    <w:rsid w:val="00B329C8"/>
    <w:rsid w:val="00B52605"/>
    <w:rsid w:val="00B54EE0"/>
    <w:rsid w:val="00BA53A1"/>
    <w:rsid w:val="00BE11CB"/>
    <w:rsid w:val="00C47ADA"/>
    <w:rsid w:val="00C77DD9"/>
    <w:rsid w:val="00C90C72"/>
    <w:rsid w:val="00CB5A15"/>
    <w:rsid w:val="00CD4F9C"/>
    <w:rsid w:val="00D25BDC"/>
    <w:rsid w:val="00D4760C"/>
    <w:rsid w:val="00D90E3B"/>
    <w:rsid w:val="00D91082"/>
    <w:rsid w:val="00D965BE"/>
    <w:rsid w:val="00DA309C"/>
    <w:rsid w:val="00DA5AE3"/>
    <w:rsid w:val="00DD0AA1"/>
    <w:rsid w:val="00DF49D0"/>
    <w:rsid w:val="00E31DF2"/>
    <w:rsid w:val="00E4664D"/>
    <w:rsid w:val="00ED2256"/>
    <w:rsid w:val="00ED5B3B"/>
    <w:rsid w:val="00F370DB"/>
    <w:rsid w:val="00F53A9D"/>
    <w:rsid w:val="00F7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9DF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E0"/>
  </w:style>
  <w:style w:type="paragraph" w:styleId="Heading1">
    <w:name w:val="heading 1"/>
    <w:basedOn w:val="Normal"/>
    <w:next w:val="Normal"/>
    <w:link w:val="Heading1Char"/>
    <w:uiPriority w:val="9"/>
    <w:qFormat/>
    <w:rsid w:val="00B54E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A7F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54EE0"/>
    <w:pPr>
      <w:spacing w:line="276" w:lineRule="auto"/>
    </w:pPr>
    <w:rPr>
      <w:rFonts w:ascii="Arial" w:eastAsia="Arial" w:hAnsi="Arial" w:cs="Arial"/>
      <w:color w:val="000000"/>
      <w:sz w:val="22"/>
      <w:lang w:eastAsia="ja-JP"/>
    </w:rPr>
  </w:style>
  <w:style w:type="paragraph" w:styleId="Footer">
    <w:name w:val="footer"/>
    <w:basedOn w:val="Normal"/>
    <w:link w:val="FooterChar"/>
    <w:uiPriority w:val="99"/>
    <w:unhideWhenUsed/>
    <w:rsid w:val="00B54EE0"/>
    <w:pPr>
      <w:tabs>
        <w:tab w:val="center" w:pos="4320"/>
        <w:tab w:val="right" w:pos="8640"/>
      </w:tabs>
    </w:pPr>
  </w:style>
  <w:style w:type="character" w:customStyle="1" w:styleId="FooterChar">
    <w:name w:val="Footer Char"/>
    <w:basedOn w:val="DefaultParagraphFont"/>
    <w:link w:val="Footer"/>
    <w:uiPriority w:val="99"/>
    <w:rsid w:val="00B54EE0"/>
  </w:style>
  <w:style w:type="character" w:styleId="PageNumber">
    <w:name w:val="page number"/>
    <w:basedOn w:val="DefaultParagraphFont"/>
    <w:uiPriority w:val="99"/>
    <w:semiHidden/>
    <w:unhideWhenUsed/>
    <w:rsid w:val="00B54EE0"/>
  </w:style>
  <w:style w:type="character" w:customStyle="1" w:styleId="Heading1Char">
    <w:name w:val="Heading 1 Char"/>
    <w:basedOn w:val="DefaultParagraphFont"/>
    <w:link w:val="Heading1"/>
    <w:uiPriority w:val="9"/>
    <w:rsid w:val="00B54EE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54EE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B54EE0"/>
    <w:pPr>
      <w:spacing w:before="120"/>
    </w:pPr>
    <w:rPr>
      <w:b/>
    </w:rPr>
  </w:style>
  <w:style w:type="paragraph" w:styleId="BalloonText">
    <w:name w:val="Balloon Text"/>
    <w:basedOn w:val="Normal"/>
    <w:link w:val="BalloonTextChar"/>
    <w:uiPriority w:val="99"/>
    <w:semiHidden/>
    <w:unhideWhenUsed/>
    <w:rsid w:val="00B54E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4EE0"/>
    <w:rPr>
      <w:rFonts w:ascii="Lucida Grande" w:hAnsi="Lucida Grande" w:cs="Lucida Grande"/>
      <w:sz w:val="18"/>
      <w:szCs w:val="18"/>
    </w:rPr>
  </w:style>
  <w:style w:type="paragraph" w:styleId="TOC2">
    <w:name w:val="toc 2"/>
    <w:basedOn w:val="Normal"/>
    <w:next w:val="Normal"/>
    <w:autoRedefine/>
    <w:uiPriority w:val="39"/>
    <w:unhideWhenUsed/>
    <w:rsid w:val="00B54EE0"/>
    <w:pPr>
      <w:ind w:left="240"/>
    </w:pPr>
    <w:rPr>
      <w:b/>
      <w:sz w:val="22"/>
      <w:szCs w:val="22"/>
    </w:rPr>
  </w:style>
  <w:style w:type="paragraph" w:styleId="TOC3">
    <w:name w:val="toc 3"/>
    <w:basedOn w:val="Normal"/>
    <w:next w:val="Normal"/>
    <w:autoRedefine/>
    <w:uiPriority w:val="39"/>
    <w:semiHidden/>
    <w:unhideWhenUsed/>
    <w:rsid w:val="00B54EE0"/>
    <w:pPr>
      <w:ind w:left="480"/>
    </w:pPr>
    <w:rPr>
      <w:sz w:val="22"/>
      <w:szCs w:val="22"/>
    </w:rPr>
  </w:style>
  <w:style w:type="paragraph" w:styleId="TOC4">
    <w:name w:val="toc 4"/>
    <w:basedOn w:val="Normal"/>
    <w:next w:val="Normal"/>
    <w:autoRedefine/>
    <w:uiPriority w:val="39"/>
    <w:semiHidden/>
    <w:unhideWhenUsed/>
    <w:rsid w:val="00B54EE0"/>
    <w:pPr>
      <w:ind w:left="720"/>
    </w:pPr>
    <w:rPr>
      <w:sz w:val="20"/>
      <w:szCs w:val="20"/>
    </w:rPr>
  </w:style>
  <w:style w:type="paragraph" w:styleId="TOC5">
    <w:name w:val="toc 5"/>
    <w:basedOn w:val="Normal"/>
    <w:next w:val="Normal"/>
    <w:autoRedefine/>
    <w:uiPriority w:val="39"/>
    <w:semiHidden/>
    <w:unhideWhenUsed/>
    <w:rsid w:val="00B54EE0"/>
    <w:pPr>
      <w:ind w:left="960"/>
    </w:pPr>
    <w:rPr>
      <w:sz w:val="20"/>
      <w:szCs w:val="20"/>
    </w:rPr>
  </w:style>
  <w:style w:type="paragraph" w:styleId="TOC6">
    <w:name w:val="toc 6"/>
    <w:basedOn w:val="Normal"/>
    <w:next w:val="Normal"/>
    <w:autoRedefine/>
    <w:uiPriority w:val="39"/>
    <w:semiHidden/>
    <w:unhideWhenUsed/>
    <w:rsid w:val="00B54EE0"/>
    <w:pPr>
      <w:ind w:left="1200"/>
    </w:pPr>
    <w:rPr>
      <w:sz w:val="20"/>
      <w:szCs w:val="20"/>
    </w:rPr>
  </w:style>
  <w:style w:type="paragraph" w:styleId="TOC7">
    <w:name w:val="toc 7"/>
    <w:basedOn w:val="Normal"/>
    <w:next w:val="Normal"/>
    <w:autoRedefine/>
    <w:uiPriority w:val="39"/>
    <w:semiHidden/>
    <w:unhideWhenUsed/>
    <w:rsid w:val="00B54EE0"/>
    <w:pPr>
      <w:ind w:left="1440"/>
    </w:pPr>
    <w:rPr>
      <w:sz w:val="20"/>
      <w:szCs w:val="20"/>
    </w:rPr>
  </w:style>
  <w:style w:type="paragraph" w:styleId="TOC8">
    <w:name w:val="toc 8"/>
    <w:basedOn w:val="Normal"/>
    <w:next w:val="Normal"/>
    <w:autoRedefine/>
    <w:uiPriority w:val="39"/>
    <w:semiHidden/>
    <w:unhideWhenUsed/>
    <w:rsid w:val="00B54EE0"/>
    <w:pPr>
      <w:ind w:left="1680"/>
    </w:pPr>
    <w:rPr>
      <w:sz w:val="20"/>
      <w:szCs w:val="20"/>
    </w:rPr>
  </w:style>
  <w:style w:type="paragraph" w:styleId="TOC9">
    <w:name w:val="toc 9"/>
    <w:basedOn w:val="Normal"/>
    <w:next w:val="Normal"/>
    <w:autoRedefine/>
    <w:uiPriority w:val="39"/>
    <w:semiHidden/>
    <w:unhideWhenUsed/>
    <w:rsid w:val="00B54EE0"/>
    <w:pPr>
      <w:ind w:left="1920"/>
    </w:pPr>
    <w:rPr>
      <w:sz w:val="20"/>
      <w:szCs w:val="20"/>
    </w:rPr>
  </w:style>
  <w:style w:type="character" w:customStyle="1" w:styleId="Heading2Char">
    <w:name w:val="Heading 2 Char"/>
    <w:basedOn w:val="DefaultParagraphFont"/>
    <w:link w:val="Heading2"/>
    <w:uiPriority w:val="9"/>
    <w:rsid w:val="00AA7F6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B2BB0"/>
  </w:style>
  <w:style w:type="character" w:customStyle="1" w:styleId="FootnoteTextChar">
    <w:name w:val="Footnote Text Char"/>
    <w:basedOn w:val="DefaultParagraphFont"/>
    <w:link w:val="FootnoteText"/>
    <w:uiPriority w:val="99"/>
    <w:rsid w:val="008B2BB0"/>
  </w:style>
  <w:style w:type="character" w:styleId="FootnoteReference">
    <w:name w:val="footnote reference"/>
    <w:basedOn w:val="DefaultParagraphFont"/>
    <w:uiPriority w:val="99"/>
    <w:unhideWhenUsed/>
    <w:rsid w:val="008B2BB0"/>
    <w:rPr>
      <w:vertAlign w:val="superscript"/>
    </w:rPr>
  </w:style>
  <w:style w:type="character" w:styleId="Hyperlink">
    <w:name w:val="Hyperlink"/>
    <w:basedOn w:val="DefaultParagraphFont"/>
    <w:uiPriority w:val="99"/>
    <w:unhideWhenUsed/>
    <w:rsid w:val="00E4664D"/>
    <w:rPr>
      <w:color w:val="0000FF" w:themeColor="hyperlink"/>
      <w:u w:val="single"/>
    </w:rPr>
  </w:style>
  <w:style w:type="paragraph" w:customStyle="1" w:styleId="Default">
    <w:name w:val="Default"/>
    <w:rsid w:val="00E4664D"/>
    <w:pPr>
      <w:widowControl w:val="0"/>
      <w:autoSpaceDE w:val="0"/>
      <w:autoSpaceDN w:val="0"/>
      <w:adjustRightInd w:val="0"/>
    </w:pPr>
    <w:rPr>
      <w:rFonts w:ascii="Galaxie Polaris Medium" w:hAnsi="Galaxie Polaris Medium" w:cs="Galaxie Polaris Medium"/>
      <w:color w:val="000000"/>
    </w:rPr>
  </w:style>
  <w:style w:type="paragraph" w:customStyle="1" w:styleId="Pa4">
    <w:name w:val="Pa4"/>
    <w:basedOn w:val="Default"/>
    <w:next w:val="Default"/>
    <w:uiPriority w:val="99"/>
    <w:rsid w:val="00E4664D"/>
    <w:pPr>
      <w:spacing w:line="241" w:lineRule="atLeast"/>
    </w:pPr>
    <w:rPr>
      <w:rFonts w:cs="Times New Roman"/>
      <w:color w:val="auto"/>
    </w:rPr>
  </w:style>
  <w:style w:type="character" w:customStyle="1" w:styleId="A5">
    <w:name w:val="A5"/>
    <w:uiPriority w:val="99"/>
    <w:rsid w:val="00E4664D"/>
    <w:rPr>
      <w:rFonts w:cs="Galaxie Polaris Medium"/>
      <w:color w:val="000000"/>
      <w:sz w:val="18"/>
      <w:szCs w:val="18"/>
    </w:rPr>
  </w:style>
  <w:style w:type="paragraph" w:styleId="Header">
    <w:name w:val="header"/>
    <w:basedOn w:val="Normal"/>
    <w:link w:val="HeaderChar"/>
    <w:uiPriority w:val="99"/>
    <w:unhideWhenUsed/>
    <w:rsid w:val="009A0924"/>
    <w:pPr>
      <w:tabs>
        <w:tab w:val="center" w:pos="4320"/>
        <w:tab w:val="right" w:pos="8640"/>
      </w:tabs>
    </w:pPr>
  </w:style>
  <w:style w:type="character" w:customStyle="1" w:styleId="HeaderChar">
    <w:name w:val="Header Char"/>
    <w:basedOn w:val="DefaultParagraphFont"/>
    <w:link w:val="Header"/>
    <w:uiPriority w:val="99"/>
    <w:rsid w:val="009A0924"/>
  </w:style>
  <w:style w:type="table" w:styleId="LightShading-Accent1">
    <w:name w:val="Light Shading Accent 1"/>
    <w:basedOn w:val="TableNormal"/>
    <w:uiPriority w:val="60"/>
    <w:rsid w:val="00190FCA"/>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E0"/>
  </w:style>
  <w:style w:type="paragraph" w:styleId="Heading1">
    <w:name w:val="heading 1"/>
    <w:basedOn w:val="Normal"/>
    <w:next w:val="Normal"/>
    <w:link w:val="Heading1Char"/>
    <w:uiPriority w:val="9"/>
    <w:qFormat/>
    <w:rsid w:val="00B54E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A7F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54EE0"/>
    <w:pPr>
      <w:spacing w:line="276" w:lineRule="auto"/>
    </w:pPr>
    <w:rPr>
      <w:rFonts w:ascii="Arial" w:eastAsia="Arial" w:hAnsi="Arial" w:cs="Arial"/>
      <w:color w:val="000000"/>
      <w:sz w:val="22"/>
      <w:lang w:eastAsia="ja-JP"/>
    </w:rPr>
  </w:style>
  <w:style w:type="paragraph" w:styleId="Footer">
    <w:name w:val="footer"/>
    <w:basedOn w:val="Normal"/>
    <w:link w:val="FooterChar"/>
    <w:uiPriority w:val="99"/>
    <w:unhideWhenUsed/>
    <w:rsid w:val="00B54EE0"/>
    <w:pPr>
      <w:tabs>
        <w:tab w:val="center" w:pos="4320"/>
        <w:tab w:val="right" w:pos="8640"/>
      </w:tabs>
    </w:pPr>
  </w:style>
  <w:style w:type="character" w:customStyle="1" w:styleId="FooterChar">
    <w:name w:val="Footer Char"/>
    <w:basedOn w:val="DefaultParagraphFont"/>
    <w:link w:val="Footer"/>
    <w:uiPriority w:val="99"/>
    <w:rsid w:val="00B54EE0"/>
  </w:style>
  <w:style w:type="character" w:styleId="PageNumber">
    <w:name w:val="page number"/>
    <w:basedOn w:val="DefaultParagraphFont"/>
    <w:uiPriority w:val="99"/>
    <w:semiHidden/>
    <w:unhideWhenUsed/>
    <w:rsid w:val="00B54EE0"/>
  </w:style>
  <w:style w:type="character" w:customStyle="1" w:styleId="Heading1Char">
    <w:name w:val="Heading 1 Char"/>
    <w:basedOn w:val="DefaultParagraphFont"/>
    <w:link w:val="Heading1"/>
    <w:uiPriority w:val="9"/>
    <w:rsid w:val="00B54EE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54EE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B54EE0"/>
    <w:pPr>
      <w:spacing w:before="120"/>
    </w:pPr>
    <w:rPr>
      <w:b/>
    </w:rPr>
  </w:style>
  <w:style w:type="paragraph" w:styleId="BalloonText">
    <w:name w:val="Balloon Text"/>
    <w:basedOn w:val="Normal"/>
    <w:link w:val="BalloonTextChar"/>
    <w:uiPriority w:val="99"/>
    <w:semiHidden/>
    <w:unhideWhenUsed/>
    <w:rsid w:val="00B54E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4EE0"/>
    <w:rPr>
      <w:rFonts w:ascii="Lucida Grande" w:hAnsi="Lucida Grande" w:cs="Lucida Grande"/>
      <w:sz w:val="18"/>
      <w:szCs w:val="18"/>
    </w:rPr>
  </w:style>
  <w:style w:type="paragraph" w:styleId="TOC2">
    <w:name w:val="toc 2"/>
    <w:basedOn w:val="Normal"/>
    <w:next w:val="Normal"/>
    <w:autoRedefine/>
    <w:uiPriority w:val="39"/>
    <w:unhideWhenUsed/>
    <w:rsid w:val="00B54EE0"/>
    <w:pPr>
      <w:ind w:left="240"/>
    </w:pPr>
    <w:rPr>
      <w:b/>
      <w:sz w:val="22"/>
      <w:szCs w:val="22"/>
    </w:rPr>
  </w:style>
  <w:style w:type="paragraph" w:styleId="TOC3">
    <w:name w:val="toc 3"/>
    <w:basedOn w:val="Normal"/>
    <w:next w:val="Normal"/>
    <w:autoRedefine/>
    <w:uiPriority w:val="39"/>
    <w:semiHidden/>
    <w:unhideWhenUsed/>
    <w:rsid w:val="00B54EE0"/>
    <w:pPr>
      <w:ind w:left="480"/>
    </w:pPr>
    <w:rPr>
      <w:sz w:val="22"/>
      <w:szCs w:val="22"/>
    </w:rPr>
  </w:style>
  <w:style w:type="paragraph" w:styleId="TOC4">
    <w:name w:val="toc 4"/>
    <w:basedOn w:val="Normal"/>
    <w:next w:val="Normal"/>
    <w:autoRedefine/>
    <w:uiPriority w:val="39"/>
    <w:semiHidden/>
    <w:unhideWhenUsed/>
    <w:rsid w:val="00B54EE0"/>
    <w:pPr>
      <w:ind w:left="720"/>
    </w:pPr>
    <w:rPr>
      <w:sz w:val="20"/>
      <w:szCs w:val="20"/>
    </w:rPr>
  </w:style>
  <w:style w:type="paragraph" w:styleId="TOC5">
    <w:name w:val="toc 5"/>
    <w:basedOn w:val="Normal"/>
    <w:next w:val="Normal"/>
    <w:autoRedefine/>
    <w:uiPriority w:val="39"/>
    <w:semiHidden/>
    <w:unhideWhenUsed/>
    <w:rsid w:val="00B54EE0"/>
    <w:pPr>
      <w:ind w:left="960"/>
    </w:pPr>
    <w:rPr>
      <w:sz w:val="20"/>
      <w:szCs w:val="20"/>
    </w:rPr>
  </w:style>
  <w:style w:type="paragraph" w:styleId="TOC6">
    <w:name w:val="toc 6"/>
    <w:basedOn w:val="Normal"/>
    <w:next w:val="Normal"/>
    <w:autoRedefine/>
    <w:uiPriority w:val="39"/>
    <w:semiHidden/>
    <w:unhideWhenUsed/>
    <w:rsid w:val="00B54EE0"/>
    <w:pPr>
      <w:ind w:left="1200"/>
    </w:pPr>
    <w:rPr>
      <w:sz w:val="20"/>
      <w:szCs w:val="20"/>
    </w:rPr>
  </w:style>
  <w:style w:type="paragraph" w:styleId="TOC7">
    <w:name w:val="toc 7"/>
    <w:basedOn w:val="Normal"/>
    <w:next w:val="Normal"/>
    <w:autoRedefine/>
    <w:uiPriority w:val="39"/>
    <w:semiHidden/>
    <w:unhideWhenUsed/>
    <w:rsid w:val="00B54EE0"/>
    <w:pPr>
      <w:ind w:left="1440"/>
    </w:pPr>
    <w:rPr>
      <w:sz w:val="20"/>
      <w:szCs w:val="20"/>
    </w:rPr>
  </w:style>
  <w:style w:type="paragraph" w:styleId="TOC8">
    <w:name w:val="toc 8"/>
    <w:basedOn w:val="Normal"/>
    <w:next w:val="Normal"/>
    <w:autoRedefine/>
    <w:uiPriority w:val="39"/>
    <w:semiHidden/>
    <w:unhideWhenUsed/>
    <w:rsid w:val="00B54EE0"/>
    <w:pPr>
      <w:ind w:left="1680"/>
    </w:pPr>
    <w:rPr>
      <w:sz w:val="20"/>
      <w:szCs w:val="20"/>
    </w:rPr>
  </w:style>
  <w:style w:type="paragraph" w:styleId="TOC9">
    <w:name w:val="toc 9"/>
    <w:basedOn w:val="Normal"/>
    <w:next w:val="Normal"/>
    <w:autoRedefine/>
    <w:uiPriority w:val="39"/>
    <w:semiHidden/>
    <w:unhideWhenUsed/>
    <w:rsid w:val="00B54EE0"/>
    <w:pPr>
      <w:ind w:left="1920"/>
    </w:pPr>
    <w:rPr>
      <w:sz w:val="20"/>
      <w:szCs w:val="20"/>
    </w:rPr>
  </w:style>
  <w:style w:type="character" w:customStyle="1" w:styleId="Heading2Char">
    <w:name w:val="Heading 2 Char"/>
    <w:basedOn w:val="DefaultParagraphFont"/>
    <w:link w:val="Heading2"/>
    <w:uiPriority w:val="9"/>
    <w:rsid w:val="00AA7F6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B2BB0"/>
  </w:style>
  <w:style w:type="character" w:customStyle="1" w:styleId="FootnoteTextChar">
    <w:name w:val="Footnote Text Char"/>
    <w:basedOn w:val="DefaultParagraphFont"/>
    <w:link w:val="FootnoteText"/>
    <w:uiPriority w:val="99"/>
    <w:rsid w:val="008B2BB0"/>
  </w:style>
  <w:style w:type="character" w:styleId="FootnoteReference">
    <w:name w:val="footnote reference"/>
    <w:basedOn w:val="DefaultParagraphFont"/>
    <w:uiPriority w:val="99"/>
    <w:unhideWhenUsed/>
    <w:rsid w:val="008B2BB0"/>
    <w:rPr>
      <w:vertAlign w:val="superscript"/>
    </w:rPr>
  </w:style>
  <w:style w:type="character" w:styleId="Hyperlink">
    <w:name w:val="Hyperlink"/>
    <w:basedOn w:val="DefaultParagraphFont"/>
    <w:uiPriority w:val="99"/>
    <w:unhideWhenUsed/>
    <w:rsid w:val="00E4664D"/>
    <w:rPr>
      <w:color w:val="0000FF" w:themeColor="hyperlink"/>
      <w:u w:val="single"/>
    </w:rPr>
  </w:style>
  <w:style w:type="paragraph" w:customStyle="1" w:styleId="Default">
    <w:name w:val="Default"/>
    <w:rsid w:val="00E4664D"/>
    <w:pPr>
      <w:widowControl w:val="0"/>
      <w:autoSpaceDE w:val="0"/>
      <w:autoSpaceDN w:val="0"/>
      <w:adjustRightInd w:val="0"/>
    </w:pPr>
    <w:rPr>
      <w:rFonts w:ascii="Galaxie Polaris Medium" w:hAnsi="Galaxie Polaris Medium" w:cs="Galaxie Polaris Medium"/>
      <w:color w:val="000000"/>
    </w:rPr>
  </w:style>
  <w:style w:type="paragraph" w:customStyle="1" w:styleId="Pa4">
    <w:name w:val="Pa4"/>
    <w:basedOn w:val="Default"/>
    <w:next w:val="Default"/>
    <w:uiPriority w:val="99"/>
    <w:rsid w:val="00E4664D"/>
    <w:pPr>
      <w:spacing w:line="241" w:lineRule="atLeast"/>
    </w:pPr>
    <w:rPr>
      <w:rFonts w:cs="Times New Roman"/>
      <w:color w:val="auto"/>
    </w:rPr>
  </w:style>
  <w:style w:type="character" w:customStyle="1" w:styleId="A5">
    <w:name w:val="A5"/>
    <w:uiPriority w:val="99"/>
    <w:rsid w:val="00E4664D"/>
    <w:rPr>
      <w:rFonts w:cs="Galaxie Polaris Medium"/>
      <w:color w:val="000000"/>
      <w:sz w:val="18"/>
      <w:szCs w:val="18"/>
    </w:rPr>
  </w:style>
  <w:style w:type="paragraph" w:styleId="Header">
    <w:name w:val="header"/>
    <w:basedOn w:val="Normal"/>
    <w:link w:val="HeaderChar"/>
    <w:uiPriority w:val="99"/>
    <w:unhideWhenUsed/>
    <w:rsid w:val="009A0924"/>
    <w:pPr>
      <w:tabs>
        <w:tab w:val="center" w:pos="4320"/>
        <w:tab w:val="right" w:pos="8640"/>
      </w:tabs>
    </w:pPr>
  </w:style>
  <w:style w:type="character" w:customStyle="1" w:styleId="HeaderChar">
    <w:name w:val="Header Char"/>
    <w:basedOn w:val="DefaultParagraphFont"/>
    <w:link w:val="Header"/>
    <w:uiPriority w:val="99"/>
    <w:rsid w:val="009A0924"/>
  </w:style>
  <w:style w:type="table" w:styleId="LightShading-Accent1">
    <w:name w:val="Light Shading Accent 1"/>
    <w:basedOn w:val="TableNormal"/>
    <w:uiPriority w:val="60"/>
    <w:rsid w:val="00190FCA"/>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897">
      <w:bodyDiv w:val="1"/>
      <w:marLeft w:val="0"/>
      <w:marRight w:val="0"/>
      <w:marTop w:val="0"/>
      <w:marBottom w:val="0"/>
      <w:divBdr>
        <w:top w:val="none" w:sz="0" w:space="0" w:color="auto"/>
        <w:left w:val="none" w:sz="0" w:space="0" w:color="auto"/>
        <w:bottom w:val="none" w:sz="0" w:space="0" w:color="auto"/>
        <w:right w:val="none" w:sz="0" w:space="0" w:color="auto"/>
      </w:divBdr>
    </w:div>
    <w:div w:id="604852438">
      <w:bodyDiv w:val="1"/>
      <w:marLeft w:val="0"/>
      <w:marRight w:val="0"/>
      <w:marTop w:val="0"/>
      <w:marBottom w:val="0"/>
      <w:divBdr>
        <w:top w:val="none" w:sz="0" w:space="0" w:color="auto"/>
        <w:left w:val="none" w:sz="0" w:space="0" w:color="auto"/>
        <w:bottom w:val="none" w:sz="0" w:space="0" w:color="auto"/>
        <w:right w:val="none" w:sz="0" w:space="0" w:color="auto"/>
      </w:divBdr>
    </w:div>
    <w:div w:id="613440423">
      <w:bodyDiv w:val="1"/>
      <w:marLeft w:val="0"/>
      <w:marRight w:val="0"/>
      <w:marTop w:val="0"/>
      <w:marBottom w:val="0"/>
      <w:divBdr>
        <w:top w:val="none" w:sz="0" w:space="0" w:color="auto"/>
        <w:left w:val="none" w:sz="0" w:space="0" w:color="auto"/>
        <w:bottom w:val="none" w:sz="0" w:space="0" w:color="auto"/>
        <w:right w:val="none" w:sz="0" w:space="0" w:color="auto"/>
      </w:divBdr>
    </w:div>
    <w:div w:id="830634106">
      <w:bodyDiv w:val="1"/>
      <w:marLeft w:val="0"/>
      <w:marRight w:val="0"/>
      <w:marTop w:val="0"/>
      <w:marBottom w:val="0"/>
      <w:divBdr>
        <w:top w:val="none" w:sz="0" w:space="0" w:color="auto"/>
        <w:left w:val="none" w:sz="0" w:space="0" w:color="auto"/>
        <w:bottom w:val="none" w:sz="0" w:space="0" w:color="auto"/>
        <w:right w:val="none" w:sz="0" w:space="0" w:color="auto"/>
      </w:divBdr>
    </w:div>
    <w:div w:id="885411794">
      <w:bodyDiv w:val="1"/>
      <w:marLeft w:val="0"/>
      <w:marRight w:val="0"/>
      <w:marTop w:val="0"/>
      <w:marBottom w:val="0"/>
      <w:divBdr>
        <w:top w:val="none" w:sz="0" w:space="0" w:color="auto"/>
        <w:left w:val="none" w:sz="0" w:space="0" w:color="auto"/>
        <w:bottom w:val="none" w:sz="0" w:space="0" w:color="auto"/>
        <w:right w:val="none" w:sz="0" w:space="0" w:color="auto"/>
      </w:divBdr>
    </w:div>
    <w:div w:id="1020934266">
      <w:bodyDiv w:val="1"/>
      <w:marLeft w:val="0"/>
      <w:marRight w:val="0"/>
      <w:marTop w:val="0"/>
      <w:marBottom w:val="0"/>
      <w:divBdr>
        <w:top w:val="none" w:sz="0" w:space="0" w:color="auto"/>
        <w:left w:val="none" w:sz="0" w:space="0" w:color="auto"/>
        <w:bottom w:val="none" w:sz="0" w:space="0" w:color="auto"/>
        <w:right w:val="none" w:sz="0" w:space="0" w:color="auto"/>
      </w:divBdr>
    </w:div>
    <w:div w:id="1193491197">
      <w:bodyDiv w:val="1"/>
      <w:marLeft w:val="0"/>
      <w:marRight w:val="0"/>
      <w:marTop w:val="0"/>
      <w:marBottom w:val="0"/>
      <w:divBdr>
        <w:top w:val="none" w:sz="0" w:space="0" w:color="auto"/>
        <w:left w:val="none" w:sz="0" w:space="0" w:color="auto"/>
        <w:bottom w:val="none" w:sz="0" w:space="0" w:color="auto"/>
        <w:right w:val="none" w:sz="0" w:space="0" w:color="auto"/>
      </w:divBdr>
    </w:div>
    <w:div w:id="1253274435">
      <w:bodyDiv w:val="1"/>
      <w:marLeft w:val="0"/>
      <w:marRight w:val="0"/>
      <w:marTop w:val="0"/>
      <w:marBottom w:val="0"/>
      <w:divBdr>
        <w:top w:val="none" w:sz="0" w:space="0" w:color="auto"/>
        <w:left w:val="none" w:sz="0" w:space="0" w:color="auto"/>
        <w:bottom w:val="none" w:sz="0" w:space="0" w:color="auto"/>
        <w:right w:val="none" w:sz="0" w:space="0" w:color="auto"/>
      </w:divBdr>
    </w:div>
    <w:div w:id="1669207345">
      <w:bodyDiv w:val="1"/>
      <w:marLeft w:val="0"/>
      <w:marRight w:val="0"/>
      <w:marTop w:val="0"/>
      <w:marBottom w:val="0"/>
      <w:divBdr>
        <w:top w:val="none" w:sz="0" w:space="0" w:color="auto"/>
        <w:left w:val="none" w:sz="0" w:space="0" w:color="auto"/>
        <w:bottom w:val="none" w:sz="0" w:space="0" w:color="auto"/>
        <w:right w:val="none" w:sz="0" w:space="0" w:color="auto"/>
      </w:divBdr>
    </w:div>
    <w:div w:id="2043242520">
      <w:bodyDiv w:val="1"/>
      <w:marLeft w:val="0"/>
      <w:marRight w:val="0"/>
      <w:marTop w:val="0"/>
      <w:marBottom w:val="0"/>
      <w:divBdr>
        <w:top w:val="none" w:sz="0" w:space="0" w:color="auto"/>
        <w:left w:val="none" w:sz="0" w:space="0" w:color="auto"/>
        <w:bottom w:val="none" w:sz="0" w:space="0" w:color="auto"/>
        <w:right w:val="none" w:sz="0" w:space="0" w:color="auto"/>
      </w:divBdr>
    </w:div>
    <w:div w:id="20702228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li.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yc.gov/html/dep/html/press_releases/11-99p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48937FC-A20C-4CB2-8EB4-DBC8C0DA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eshleman</dc:creator>
  <cp:lastModifiedBy>Matthews, Terri</cp:lastModifiedBy>
  <cp:revision>2</cp:revision>
  <dcterms:created xsi:type="dcterms:W3CDTF">2015-04-20T23:16:00Z</dcterms:created>
  <dcterms:modified xsi:type="dcterms:W3CDTF">2015-04-20T23:16:00Z</dcterms:modified>
</cp:coreProperties>
</file>