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E2F0E" w14:textId="16564E65" w:rsidR="00E12C8E" w:rsidRPr="00413148" w:rsidRDefault="001900B7" w:rsidP="7053F1F0">
      <w:pPr>
        <w:pStyle w:val="Title"/>
        <w:jc w:val="right"/>
        <w:rPr>
          <w:rFonts w:ascii="Arial" w:hAnsi="Arial" w:cs="Arial"/>
          <w:b/>
          <w:sz w:val="32"/>
          <w:szCs w:val="32"/>
        </w:rPr>
      </w:pPr>
      <w:r w:rsidRPr="00413148">
        <w:rPr>
          <w:rFonts w:ascii="Arial" w:hAnsi="Arial" w:cs="Arial"/>
          <w:sz w:val="32"/>
          <w:szCs w:val="32"/>
        </w:rPr>
        <w:t>December 2</w:t>
      </w:r>
      <w:r w:rsidR="00E12C8E" w:rsidRPr="00413148">
        <w:rPr>
          <w:rFonts w:ascii="Arial" w:hAnsi="Arial" w:cs="Arial"/>
          <w:sz w:val="32"/>
          <w:szCs w:val="32"/>
        </w:rPr>
        <w:t>02</w:t>
      </w:r>
      <w:r w:rsidR="0FF99B62" w:rsidRPr="00413148">
        <w:rPr>
          <w:rFonts w:ascii="Arial" w:hAnsi="Arial" w:cs="Arial"/>
          <w:sz w:val="32"/>
          <w:szCs w:val="32"/>
        </w:rPr>
        <w:t>5</w:t>
      </w:r>
    </w:p>
    <w:p w14:paraId="566F6FAE" w14:textId="77777777" w:rsidR="00D63CA8" w:rsidRPr="00413148" w:rsidRDefault="00D63CA8" w:rsidP="00D63CA8">
      <w:pPr>
        <w:pStyle w:val="Title"/>
        <w:spacing w:after="0"/>
        <w:rPr>
          <w:rFonts w:ascii="Arial" w:hAnsi="Arial" w:cs="Arial"/>
          <w:color w:val="4B0082"/>
          <w:sz w:val="72"/>
          <w:szCs w:val="72"/>
        </w:rPr>
      </w:pPr>
    </w:p>
    <w:p w14:paraId="543D9FF3" w14:textId="77777777" w:rsidR="00D63CA8" w:rsidRPr="00413148" w:rsidRDefault="00D63CA8" w:rsidP="00D63CA8">
      <w:pPr>
        <w:pStyle w:val="Title"/>
        <w:spacing w:after="0"/>
        <w:rPr>
          <w:rFonts w:ascii="Arial" w:hAnsi="Arial" w:cs="Arial"/>
          <w:color w:val="4B0082"/>
          <w:sz w:val="72"/>
          <w:szCs w:val="72"/>
        </w:rPr>
      </w:pPr>
      <w:r w:rsidRPr="00413148">
        <w:rPr>
          <w:rFonts w:ascii="Arial" w:hAnsi="Arial" w:cs="Arial"/>
          <w:noProof/>
        </w:rPr>
        <w:drawing>
          <wp:inline distT="0" distB="0" distL="0" distR="0" wp14:anchorId="0FE4DDEC" wp14:editId="07EE1E33">
            <wp:extent cx="3032760" cy="1844040"/>
            <wp:effectExtent l="0" t="0" r="0" b="0"/>
            <wp:docPr id="1008946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946027" name="Picture 1"/>
                    <pic:cNvPicPr/>
                  </pic:nvPicPr>
                  <pic:blipFill rotWithShape="1">
                    <a:blip r:embed="rId11" cstate="print">
                      <a:extLst>
                        <a:ext uri="{28A0092B-C50C-407E-A947-70E740481C1C}">
                          <a14:useLocalDpi xmlns:a14="http://schemas.microsoft.com/office/drawing/2010/main" val="0"/>
                        </a:ext>
                      </a:extLst>
                    </a:blip>
                    <a:srcRect l="21876" t="19143" r="20078" b="18112"/>
                    <a:stretch>
                      <a:fillRect/>
                    </a:stretch>
                  </pic:blipFill>
                  <pic:spPr bwMode="auto">
                    <a:xfrm>
                      <a:off x="0" y="0"/>
                      <a:ext cx="3034744" cy="1845246"/>
                    </a:xfrm>
                    <a:prstGeom prst="rect">
                      <a:avLst/>
                    </a:prstGeom>
                    <a:ln>
                      <a:noFill/>
                    </a:ln>
                    <a:extLst>
                      <a:ext uri="{53640926-AAD7-44D8-BBD7-CCE9431645EC}">
                        <a14:shadowObscured xmlns:a14="http://schemas.microsoft.com/office/drawing/2010/main"/>
                      </a:ext>
                    </a:extLst>
                  </pic:spPr>
                </pic:pic>
              </a:graphicData>
            </a:graphic>
          </wp:inline>
        </w:drawing>
      </w:r>
    </w:p>
    <w:p w14:paraId="10AB71E0" w14:textId="77777777" w:rsidR="00D63CA8" w:rsidRPr="00413148" w:rsidRDefault="00D63CA8" w:rsidP="00D63CA8">
      <w:pPr>
        <w:pStyle w:val="Title"/>
        <w:spacing w:after="0"/>
        <w:rPr>
          <w:rFonts w:ascii="Arial" w:hAnsi="Arial" w:cs="Arial"/>
          <w:color w:val="4B0082"/>
          <w:sz w:val="72"/>
          <w:szCs w:val="72"/>
        </w:rPr>
      </w:pPr>
    </w:p>
    <w:p w14:paraId="7622D0BA" w14:textId="6DFE3C27" w:rsidR="00E12C8E" w:rsidRPr="00413148" w:rsidRDefault="00E12C8E" w:rsidP="00D63CA8">
      <w:pPr>
        <w:pStyle w:val="Title"/>
        <w:spacing w:before="1080" w:after="0"/>
        <w:rPr>
          <w:rFonts w:ascii="Arial" w:hAnsi="Arial" w:cs="Arial"/>
        </w:rPr>
      </w:pPr>
      <w:r w:rsidRPr="00413148">
        <w:rPr>
          <w:rFonts w:ascii="Arial" w:hAnsi="Arial" w:cs="Arial"/>
          <w:b/>
          <w:bCs/>
          <w:sz w:val="60"/>
          <w:szCs w:val="60"/>
        </w:rPr>
        <w:t>Legal Enforcement Guidance on Discrimination on the Basis of Disability</w:t>
      </w:r>
    </w:p>
    <w:p w14:paraId="46140289" w14:textId="65383B9B" w:rsidR="00E12C8E" w:rsidRPr="00413148" w:rsidRDefault="00E12C8E" w:rsidP="000D2250">
      <w:pPr>
        <w:pStyle w:val="Footer"/>
        <w:spacing w:before="360"/>
        <w:rPr>
          <w:rFonts w:ascii="Helvetica Neue" w:hAnsi="Helvetica Neue"/>
          <w:sz w:val="22"/>
          <w:szCs w:val="22"/>
        </w:rPr>
      </w:pPr>
      <w:r w:rsidRPr="00413148">
        <w:rPr>
          <w:rFonts w:ascii="Helvetica Neue" w:hAnsi="Helvetica Neue"/>
        </w:rPr>
        <w:br w:type="page"/>
      </w:r>
    </w:p>
    <w:sdt>
      <w:sdtPr>
        <w:rPr>
          <w:rFonts w:ascii="Arial" w:eastAsiaTheme="minorEastAsia" w:hAnsi="Arial" w:cs="Arial"/>
          <w:color w:val="auto"/>
          <w:spacing w:val="-10"/>
          <w:kern w:val="28"/>
          <w:sz w:val="56"/>
          <w:szCs w:val="56"/>
          <w14:ligatures w14:val="standardContextual"/>
        </w:rPr>
        <w:id w:val="-2088370095"/>
        <w:docPartObj>
          <w:docPartGallery w:val="Table of Contents"/>
          <w:docPartUnique/>
        </w:docPartObj>
      </w:sdtPr>
      <w:sdtEndPr>
        <w:rPr>
          <w:rFonts w:cstheme="minorBidi"/>
          <w:spacing w:val="0"/>
          <w:kern w:val="2"/>
          <w:sz w:val="32"/>
          <w:szCs w:val="32"/>
        </w:rPr>
      </w:sdtEndPr>
      <w:sdtContent>
        <w:p w14:paraId="08B217B7" w14:textId="77777777" w:rsidR="00776A8A" w:rsidRPr="00413148" w:rsidRDefault="00776A8A" w:rsidP="00F772C9">
          <w:pPr>
            <w:pStyle w:val="TOCHeading"/>
            <w:spacing w:before="0" w:after="120" w:line="240" w:lineRule="auto"/>
            <w:rPr>
              <w:rFonts w:ascii="Arial" w:hAnsi="Arial" w:cs="Arial"/>
              <w:b/>
              <w:bCs/>
              <w:color w:val="4B0082"/>
              <w:sz w:val="48"/>
              <w:szCs w:val="48"/>
            </w:rPr>
          </w:pPr>
          <w:r w:rsidRPr="00413148">
            <w:rPr>
              <w:rFonts w:ascii="Arial" w:hAnsi="Arial" w:cs="Arial"/>
              <w:b/>
              <w:bCs/>
              <w:color w:val="4B0082"/>
              <w:sz w:val="48"/>
              <w:szCs w:val="48"/>
            </w:rPr>
            <w:t>Contents</w:t>
          </w:r>
        </w:p>
        <w:p w14:paraId="3FD4A11B" w14:textId="1F913E55" w:rsidR="007C1721" w:rsidRDefault="00776A8A">
          <w:pPr>
            <w:pStyle w:val="TOC2"/>
            <w:rPr>
              <w:rFonts w:asciiTheme="minorHAnsi" w:eastAsiaTheme="minorEastAsia" w:hAnsiTheme="minorHAnsi" w:cstheme="minorBidi"/>
              <w:noProof/>
              <w:sz w:val="24"/>
            </w:rPr>
          </w:pPr>
          <w:r w:rsidRPr="00413148">
            <w:fldChar w:fldCharType="begin"/>
          </w:r>
          <w:r w:rsidRPr="00413148">
            <w:instrText xml:space="preserve"> TOC \o "1-3" \h \z \u </w:instrText>
          </w:r>
          <w:r w:rsidRPr="00413148">
            <w:fldChar w:fldCharType="separate"/>
          </w:r>
          <w:hyperlink w:anchor="_Toc218083730" w:history="1">
            <w:r w:rsidR="007C1721" w:rsidRPr="00E00484">
              <w:rPr>
                <w:rStyle w:val="Hyperlink"/>
                <w:rFonts w:ascii="Helvetica Neue" w:hAnsi="Helvetica Neue" w:cs="Arial"/>
                <w:b/>
                <w:bCs/>
                <w:noProof/>
              </w:rPr>
              <w:t>A.</w:t>
            </w:r>
            <w:r w:rsidR="007C1721">
              <w:rPr>
                <w:rFonts w:asciiTheme="minorHAnsi" w:eastAsiaTheme="minorEastAsia" w:hAnsiTheme="minorHAnsi" w:cstheme="minorBidi"/>
                <w:noProof/>
                <w:sz w:val="24"/>
              </w:rPr>
              <w:tab/>
            </w:r>
            <w:r w:rsidR="007C1721" w:rsidRPr="00E00484">
              <w:rPr>
                <w:rStyle w:val="Hyperlink"/>
                <w:rFonts w:cs="Arial"/>
                <w:b/>
                <w:bCs/>
                <w:noProof/>
              </w:rPr>
              <w:t>Introduction</w:t>
            </w:r>
            <w:r w:rsidR="007C1721">
              <w:rPr>
                <w:noProof/>
                <w:webHidden/>
              </w:rPr>
              <w:tab/>
            </w:r>
            <w:r w:rsidR="007C1721">
              <w:rPr>
                <w:noProof/>
                <w:webHidden/>
              </w:rPr>
              <w:fldChar w:fldCharType="begin"/>
            </w:r>
            <w:r w:rsidR="007C1721">
              <w:rPr>
                <w:noProof/>
                <w:webHidden/>
              </w:rPr>
              <w:instrText xml:space="preserve"> PAGEREF _Toc218083730 \h </w:instrText>
            </w:r>
            <w:r w:rsidR="007C1721">
              <w:rPr>
                <w:noProof/>
                <w:webHidden/>
              </w:rPr>
            </w:r>
            <w:r w:rsidR="007C1721">
              <w:rPr>
                <w:noProof/>
                <w:webHidden/>
              </w:rPr>
              <w:fldChar w:fldCharType="separate"/>
            </w:r>
            <w:r w:rsidR="007C1721">
              <w:rPr>
                <w:noProof/>
                <w:webHidden/>
              </w:rPr>
              <w:t>4</w:t>
            </w:r>
            <w:r w:rsidR="007C1721">
              <w:rPr>
                <w:noProof/>
                <w:webHidden/>
              </w:rPr>
              <w:fldChar w:fldCharType="end"/>
            </w:r>
          </w:hyperlink>
        </w:p>
        <w:p w14:paraId="5B3564AB" w14:textId="036B28D5" w:rsidR="007C1721" w:rsidRDefault="007C1721">
          <w:pPr>
            <w:pStyle w:val="TOC3"/>
            <w:rPr>
              <w:rFonts w:asciiTheme="minorHAnsi" w:eastAsiaTheme="minorEastAsia" w:hAnsiTheme="minorHAnsi" w:cstheme="minorBidi"/>
              <w:noProof/>
              <w:sz w:val="24"/>
            </w:rPr>
          </w:pPr>
          <w:hyperlink w:anchor="_Toc218083731" w:history="1">
            <w:r w:rsidRPr="00E00484">
              <w:rPr>
                <w:rStyle w:val="Hyperlink"/>
                <w:rFonts w:cs="Arial"/>
                <w:b/>
                <w:bCs/>
                <w:noProof/>
              </w:rPr>
              <w:t>i.</w:t>
            </w:r>
            <w:r>
              <w:rPr>
                <w:rFonts w:asciiTheme="minorHAnsi" w:eastAsiaTheme="minorEastAsia" w:hAnsiTheme="minorHAnsi" w:cstheme="minorBidi"/>
                <w:noProof/>
                <w:sz w:val="24"/>
              </w:rPr>
              <w:tab/>
            </w:r>
            <w:r w:rsidRPr="00E00484">
              <w:rPr>
                <w:rStyle w:val="Hyperlink"/>
                <w:rFonts w:cs="Arial"/>
                <w:b/>
                <w:bCs/>
                <w:noProof/>
              </w:rPr>
              <w:t>Definition of Disability in the City Human Rights Law</w:t>
            </w:r>
            <w:r>
              <w:rPr>
                <w:noProof/>
                <w:webHidden/>
              </w:rPr>
              <w:tab/>
            </w:r>
            <w:r>
              <w:rPr>
                <w:noProof/>
                <w:webHidden/>
              </w:rPr>
              <w:fldChar w:fldCharType="begin"/>
            </w:r>
            <w:r>
              <w:rPr>
                <w:noProof/>
                <w:webHidden/>
              </w:rPr>
              <w:instrText xml:space="preserve"> PAGEREF _Toc218083731 \h </w:instrText>
            </w:r>
            <w:r>
              <w:rPr>
                <w:noProof/>
                <w:webHidden/>
              </w:rPr>
            </w:r>
            <w:r>
              <w:rPr>
                <w:noProof/>
                <w:webHidden/>
              </w:rPr>
              <w:fldChar w:fldCharType="separate"/>
            </w:r>
            <w:r>
              <w:rPr>
                <w:noProof/>
                <w:webHidden/>
              </w:rPr>
              <w:t>6</w:t>
            </w:r>
            <w:r>
              <w:rPr>
                <w:noProof/>
                <w:webHidden/>
              </w:rPr>
              <w:fldChar w:fldCharType="end"/>
            </w:r>
          </w:hyperlink>
        </w:p>
        <w:p w14:paraId="2A63E87D" w14:textId="3E8FA513" w:rsidR="007C1721" w:rsidRDefault="007C1721">
          <w:pPr>
            <w:pStyle w:val="TOC3"/>
            <w:rPr>
              <w:rFonts w:asciiTheme="minorHAnsi" w:eastAsiaTheme="minorEastAsia" w:hAnsiTheme="minorHAnsi" w:cstheme="minorBidi"/>
              <w:noProof/>
              <w:sz w:val="24"/>
            </w:rPr>
          </w:pPr>
          <w:hyperlink w:anchor="_Toc218083732" w:history="1">
            <w:r w:rsidRPr="00E00484">
              <w:rPr>
                <w:rStyle w:val="Hyperlink"/>
                <w:rFonts w:cs="Arial"/>
                <w:b/>
                <w:bCs/>
                <w:noProof/>
              </w:rPr>
              <w:t>ii.</w:t>
            </w:r>
            <w:r>
              <w:rPr>
                <w:rFonts w:asciiTheme="minorHAnsi" w:eastAsiaTheme="minorEastAsia" w:hAnsiTheme="minorHAnsi" w:cstheme="minorBidi"/>
                <w:noProof/>
                <w:sz w:val="24"/>
              </w:rPr>
              <w:tab/>
            </w:r>
            <w:r w:rsidRPr="00E00484">
              <w:rPr>
                <w:rStyle w:val="Hyperlink"/>
                <w:rFonts w:cs="Arial"/>
                <w:b/>
                <w:bCs/>
                <w:noProof/>
              </w:rPr>
              <w:t>Disability-Based Causes of Action</w:t>
            </w:r>
            <w:r>
              <w:rPr>
                <w:noProof/>
                <w:webHidden/>
              </w:rPr>
              <w:tab/>
            </w:r>
            <w:r>
              <w:rPr>
                <w:noProof/>
                <w:webHidden/>
              </w:rPr>
              <w:fldChar w:fldCharType="begin"/>
            </w:r>
            <w:r>
              <w:rPr>
                <w:noProof/>
                <w:webHidden/>
              </w:rPr>
              <w:instrText xml:space="preserve"> PAGEREF _Toc218083732 \h </w:instrText>
            </w:r>
            <w:r>
              <w:rPr>
                <w:noProof/>
                <w:webHidden/>
              </w:rPr>
            </w:r>
            <w:r>
              <w:rPr>
                <w:noProof/>
                <w:webHidden/>
              </w:rPr>
              <w:fldChar w:fldCharType="separate"/>
            </w:r>
            <w:r>
              <w:rPr>
                <w:noProof/>
                <w:webHidden/>
              </w:rPr>
              <w:t>9</w:t>
            </w:r>
            <w:r>
              <w:rPr>
                <w:noProof/>
                <w:webHidden/>
              </w:rPr>
              <w:fldChar w:fldCharType="end"/>
            </w:r>
          </w:hyperlink>
        </w:p>
        <w:p w14:paraId="55DABA42" w14:textId="0A4188F1" w:rsidR="007C1721" w:rsidRDefault="007C1721">
          <w:pPr>
            <w:pStyle w:val="TOC3"/>
            <w:rPr>
              <w:rFonts w:asciiTheme="minorHAnsi" w:eastAsiaTheme="minorEastAsia" w:hAnsiTheme="minorHAnsi" w:cstheme="minorBidi"/>
              <w:noProof/>
              <w:sz w:val="24"/>
            </w:rPr>
          </w:pPr>
          <w:hyperlink w:anchor="_Toc218083733" w:history="1">
            <w:r w:rsidRPr="00E00484">
              <w:rPr>
                <w:rStyle w:val="Hyperlink"/>
                <w:b/>
                <w:bCs/>
                <w:noProof/>
              </w:rPr>
              <w:t>iii.</w:t>
            </w:r>
            <w:r>
              <w:rPr>
                <w:rFonts w:asciiTheme="minorHAnsi" w:eastAsiaTheme="minorEastAsia" w:hAnsiTheme="minorHAnsi" w:cstheme="minorBidi"/>
                <w:noProof/>
                <w:sz w:val="24"/>
              </w:rPr>
              <w:tab/>
            </w:r>
            <w:r w:rsidRPr="00E00484">
              <w:rPr>
                <w:rStyle w:val="Hyperlink"/>
                <w:b/>
                <w:bCs/>
                <w:noProof/>
              </w:rPr>
              <w:t>Covered Entities</w:t>
            </w:r>
            <w:r>
              <w:rPr>
                <w:noProof/>
                <w:webHidden/>
              </w:rPr>
              <w:tab/>
            </w:r>
            <w:r>
              <w:rPr>
                <w:noProof/>
                <w:webHidden/>
              </w:rPr>
              <w:fldChar w:fldCharType="begin"/>
            </w:r>
            <w:r>
              <w:rPr>
                <w:noProof/>
                <w:webHidden/>
              </w:rPr>
              <w:instrText xml:space="preserve"> PAGEREF _Toc218083733 \h </w:instrText>
            </w:r>
            <w:r>
              <w:rPr>
                <w:noProof/>
                <w:webHidden/>
              </w:rPr>
            </w:r>
            <w:r>
              <w:rPr>
                <w:noProof/>
                <w:webHidden/>
              </w:rPr>
              <w:fldChar w:fldCharType="separate"/>
            </w:r>
            <w:r>
              <w:rPr>
                <w:noProof/>
                <w:webHidden/>
              </w:rPr>
              <w:t>12</w:t>
            </w:r>
            <w:r>
              <w:rPr>
                <w:noProof/>
                <w:webHidden/>
              </w:rPr>
              <w:fldChar w:fldCharType="end"/>
            </w:r>
          </w:hyperlink>
        </w:p>
        <w:p w14:paraId="43284E51" w14:textId="21B152F5" w:rsidR="007C1721" w:rsidRDefault="007C1721">
          <w:pPr>
            <w:pStyle w:val="TOC1"/>
            <w:tabs>
              <w:tab w:val="right" w:leader="dot" w:pos="9926"/>
            </w:tabs>
            <w:rPr>
              <w:rFonts w:asciiTheme="minorHAnsi" w:eastAsiaTheme="minorEastAsia" w:hAnsiTheme="minorHAnsi" w:cstheme="minorBidi"/>
              <w:noProof/>
              <w:sz w:val="24"/>
            </w:rPr>
          </w:pPr>
          <w:hyperlink w:anchor="_Toc218083734" w:history="1">
            <w:r w:rsidRPr="00E00484">
              <w:rPr>
                <w:rStyle w:val="Hyperlink"/>
                <w:rFonts w:cs="Arial"/>
                <w:b/>
                <w:bCs/>
                <w:noProof/>
              </w:rPr>
              <w:t>PART I: Overview of Disability Discrimination that Violates the NYCHRL</w:t>
            </w:r>
            <w:r>
              <w:rPr>
                <w:noProof/>
                <w:webHidden/>
              </w:rPr>
              <w:tab/>
            </w:r>
            <w:r>
              <w:rPr>
                <w:noProof/>
                <w:webHidden/>
              </w:rPr>
              <w:fldChar w:fldCharType="begin"/>
            </w:r>
            <w:r>
              <w:rPr>
                <w:noProof/>
                <w:webHidden/>
              </w:rPr>
              <w:instrText xml:space="preserve"> PAGEREF _Toc218083734 \h </w:instrText>
            </w:r>
            <w:r>
              <w:rPr>
                <w:noProof/>
                <w:webHidden/>
              </w:rPr>
            </w:r>
            <w:r>
              <w:rPr>
                <w:noProof/>
                <w:webHidden/>
              </w:rPr>
              <w:fldChar w:fldCharType="separate"/>
            </w:r>
            <w:r>
              <w:rPr>
                <w:noProof/>
                <w:webHidden/>
              </w:rPr>
              <w:t>13</w:t>
            </w:r>
            <w:r>
              <w:rPr>
                <w:noProof/>
                <w:webHidden/>
              </w:rPr>
              <w:fldChar w:fldCharType="end"/>
            </w:r>
          </w:hyperlink>
        </w:p>
        <w:p w14:paraId="7C51592E" w14:textId="62047124" w:rsidR="007C1721" w:rsidRDefault="007C1721">
          <w:pPr>
            <w:pStyle w:val="TOC2"/>
            <w:rPr>
              <w:rFonts w:asciiTheme="minorHAnsi" w:eastAsiaTheme="minorEastAsia" w:hAnsiTheme="minorHAnsi" w:cstheme="minorBidi"/>
              <w:noProof/>
              <w:sz w:val="24"/>
            </w:rPr>
          </w:pPr>
          <w:hyperlink w:anchor="_Toc218083735" w:history="1">
            <w:r w:rsidRPr="00E00484">
              <w:rPr>
                <w:rStyle w:val="Hyperlink"/>
                <w:rFonts w:cs="Arial"/>
                <w:b/>
                <w:bCs/>
                <w:noProof/>
              </w:rPr>
              <w:t>A.</w:t>
            </w:r>
            <w:r>
              <w:rPr>
                <w:rFonts w:asciiTheme="minorHAnsi" w:eastAsiaTheme="minorEastAsia" w:hAnsiTheme="minorHAnsi" w:cstheme="minorBidi"/>
                <w:noProof/>
                <w:sz w:val="24"/>
              </w:rPr>
              <w:tab/>
            </w:r>
            <w:r w:rsidRPr="00E00484">
              <w:rPr>
                <w:rStyle w:val="Hyperlink"/>
                <w:rFonts w:cs="Arial"/>
                <w:b/>
                <w:noProof/>
              </w:rPr>
              <w:t>Disparate Treatment</w:t>
            </w:r>
            <w:r>
              <w:rPr>
                <w:noProof/>
                <w:webHidden/>
              </w:rPr>
              <w:tab/>
            </w:r>
            <w:r>
              <w:rPr>
                <w:noProof/>
                <w:webHidden/>
              </w:rPr>
              <w:fldChar w:fldCharType="begin"/>
            </w:r>
            <w:r>
              <w:rPr>
                <w:noProof/>
                <w:webHidden/>
              </w:rPr>
              <w:instrText xml:space="preserve"> PAGEREF _Toc218083735 \h </w:instrText>
            </w:r>
            <w:r>
              <w:rPr>
                <w:noProof/>
                <w:webHidden/>
              </w:rPr>
            </w:r>
            <w:r>
              <w:rPr>
                <w:noProof/>
                <w:webHidden/>
              </w:rPr>
              <w:fldChar w:fldCharType="separate"/>
            </w:r>
            <w:r>
              <w:rPr>
                <w:noProof/>
                <w:webHidden/>
              </w:rPr>
              <w:t>13</w:t>
            </w:r>
            <w:r>
              <w:rPr>
                <w:noProof/>
                <w:webHidden/>
              </w:rPr>
              <w:fldChar w:fldCharType="end"/>
            </w:r>
          </w:hyperlink>
        </w:p>
        <w:p w14:paraId="57D73F28" w14:textId="34836A4D" w:rsidR="007C1721" w:rsidRDefault="007C1721">
          <w:pPr>
            <w:pStyle w:val="TOC3"/>
            <w:rPr>
              <w:rFonts w:asciiTheme="minorHAnsi" w:eastAsiaTheme="minorEastAsia" w:hAnsiTheme="minorHAnsi" w:cstheme="minorBidi"/>
              <w:noProof/>
              <w:sz w:val="24"/>
            </w:rPr>
          </w:pPr>
          <w:hyperlink w:anchor="_Toc218083736" w:history="1">
            <w:r w:rsidRPr="00E00484">
              <w:rPr>
                <w:rStyle w:val="Hyperlink"/>
                <w:b/>
                <w:bCs/>
                <w:noProof/>
              </w:rPr>
              <w:t>I.</w:t>
            </w:r>
            <w:r>
              <w:rPr>
                <w:rFonts w:asciiTheme="minorHAnsi" w:eastAsiaTheme="minorEastAsia" w:hAnsiTheme="minorHAnsi" w:cstheme="minorBidi"/>
                <w:noProof/>
                <w:sz w:val="24"/>
              </w:rPr>
              <w:tab/>
            </w:r>
            <w:r w:rsidRPr="00E00484">
              <w:rPr>
                <w:rStyle w:val="Hyperlink"/>
                <w:b/>
                <w:noProof/>
              </w:rPr>
              <w:t>Treating People Less Well Because of Disability</w:t>
            </w:r>
            <w:r>
              <w:rPr>
                <w:noProof/>
                <w:webHidden/>
              </w:rPr>
              <w:tab/>
            </w:r>
            <w:r>
              <w:rPr>
                <w:noProof/>
                <w:webHidden/>
              </w:rPr>
              <w:fldChar w:fldCharType="begin"/>
            </w:r>
            <w:r>
              <w:rPr>
                <w:noProof/>
                <w:webHidden/>
              </w:rPr>
              <w:instrText xml:space="preserve"> PAGEREF _Toc218083736 \h </w:instrText>
            </w:r>
            <w:r>
              <w:rPr>
                <w:noProof/>
                <w:webHidden/>
              </w:rPr>
            </w:r>
            <w:r>
              <w:rPr>
                <w:noProof/>
                <w:webHidden/>
              </w:rPr>
              <w:fldChar w:fldCharType="separate"/>
            </w:r>
            <w:r>
              <w:rPr>
                <w:noProof/>
                <w:webHidden/>
              </w:rPr>
              <w:t>13</w:t>
            </w:r>
            <w:r>
              <w:rPr>
                <w:noProof/>
                <w:webHidden/>
              </w:rPr>
              <w:fldChar w:fldCharType="end"/>
            </w:r>
          </w:hyperlink>
        </w:p>
        <w:p w14:paraId="779ECEB3" w14:textId="64085DD3" w:rsidR="007C1721" w:rsidRDefault="007C1721">
          <w:pPr>
            <w:pStyle w:val="TOC3"/>
            <w:rPr>
              <w:rFonts w:asciiTheme="minorHAnsi" w:eastAsiaTheme="minorEastAsia" w:hAnsiTheme="minorHAnsi" w:cstheme="minorBidi"/>
              <w:noProof/>
              <w:sz w:val="24"/>
            </w:rPr>
          </w:pPr>
          <w:hyperlink w:anchor="_Toc218083737" w:history="1">
            <w:r w:rsidRPr="00E00484">
              <w:rPr>
                <w:rStyle w:val="Hyperlink"/>
                <w:b/>
                <w:noProof/>
              </w:rPr>
              <w:t>ii.</w:t>
            </w:r>
            <w:r>
              <w:rPr>
                <w:rFonts w:asciiTheme="minorHAnsi" w:eastAsiaTheme="minorEastAsia" w:hAnsiTheme="minorHAnsi" w:cstheme="minorBidi"/>
                <w:noProof/>
                <w:sz w:val="24"/>
              </w:rPr>
              <w:tab/>
            </w:r>
            <w:r w:rsidRPr="00E00484">
              <w:rPr>
                <w:rStyle w:val="Hyperlink"/>
                <w:b/>
                <w:bCs/>
                <w:noProof/>
              </w:rPr>
              <w:t>Establishing Disparate Treatment Claims</w:t>
            </w:r>
            <w:r>
              <w:rPr>
                <w:noProof/>
                <w:webHidden/>
              </w:rPr>
              <w:tab/>
            </w:r>
            <w:r>
              <w:rPr>
                <w:noProof/>
                <w:webHidden/>
              </w:rPr>
              <w:fldChar w:fldCharType="begin"/>
            </w:r>
            <w:r>
              <w:rPr>
                <w:noProof/>
                <w:webHidden/>
              </w:rPr>
              <w:instrText xml:space="preserve"> PAGEREF _Toc218083737 \h </w:instrText>
            </w:r>
            <w:r>
              <w:rPr>
                <w:noProof/>
                <w:webHidden/>
              </w:rPr>
            </w:r>
            <w:r>
              <w:rPr>
                <w:noProof/>
                <w:webHidden/>
              </w:rPr>
              <w:fldChar w:fldCharType="separate"/>
            </w:r>
            <w:r>
              <w:rPr>
                <w:noProof/>
                <w:webHidden/>
              </w:rPr>
              <w:t>15</w:t>
            </w:r>
            <w:r>
              <w:rPr>
                <w:noProof/>
                <w:webHidden/>
              </w:rPr>
              <w:fldChar w:fldCharType="end"/>
            </w:r>
          </w:hyperlink>
        </w:p>
        <w:p w14:paraId="226C9BD2" w14:textId="314DEE0C" w:rsidR="007C1721" w:rsidRDefault="007C1721">
          <w:pPr>
            <w:pStyle w:val="TOC3"/>
            <w:rPr>
              <w:rFonts w:asciiTheme="minorHAnsi" w:eastAsiaTheme="minorEastAsia" w:hAnsiTheme="minorHAnsi" w:cstheme="minorBidi"/>
              <w:noProof/>
              <w:sz w:val="24"/>
            </w:rPr>
          </w:pPr>
          <w:hyperlink w:anchor="_Toc218083738" w:history="1">
            <w:r w:rsidRPr="00E00484">
              <w:rPr>
                <w:rStyle w:val="Hyperlink"/>
                <w:b/>
                <w:noProof/>
              </w:rPr>
              <w:t>iii.</w:t>
            </w:r>
            <w:r>
              <w:rPr>
                <w:rFonts w:asciiTheme="minorHAnsi" w:eastAsiaTheme="minorEastAsia" w:hAnsiTheme="minorHAnsi" w:cstheme="minorBidi"/>
                <w:noProof/>
                <w:sz w:val="24"/>
              </w:rPr>
              <w:tab/>
            </w:r>
            <w:r w:rsidRPr="00E00484">
              <w:rPr>
                <w:rStyle w:val="Hyperlink"/>
                <w:b/>
                <w:noProof/>
              </w:rPr>
              <w:t>Harassment</w:t>
            </w:r>
            <w:r>
              <w:rPr>
                <w:noProof/>
                <w:webHidden/>
              </w:rPr>
              <w:tab/>
            </w:r>
            <w:r>
              <w:rPr>
                <w:noProof/>
                <w:webHidden/>
              </w:rPr>
              <w:fldChar w:fldCharType="begin"/>
            </w:r>
            <w:r>
              <w:rPr>
                <w:noProof/>
                <w:webHidden/>
              </w:rPr>
              <w:instrText xml:space="preserve"> PAGEREF _Toc218083738 \h </w:instrText>
            </w:r>
            <w:r>
              <w:rPr>
                <w:noProof/>
                <w:webHidden/>
              </w:rPr>
            </w:r>
            <w:r>
              <w:rPr>
                <w:noProof/>
                <w:webHidden/>
              </w:rPr>
              <w:fldChar w:fldCharType="separate"/>
            </w:r>
            <w:r>
              <w:rPr>
                <w:noProof/>
                <w:webHidden/>
              </w:rPr>
              <w:t>15</w:t>
            </w:r>
            <w:r>
              <w:rPr>
                <w:noProof/>
                <w:webHidden/>
              </w:rPr>
              <w:fldChar w:fldCharType="end"/>
            </w:r>
          </w:hyperlink>
        </w:p>
        <w:p w14:paraId="3BA28541" w14:textId="699248FF" w:rsidR="007C1721" w:rsidRDefault="007C1721">
          <w:pPr>
            <w:pStyle w:val="TOC3"/>
            <w:rPr>
              <w:rFonts w:asciiTheme="minorHAnsi" w:eastAsiaTheme="minorEastAsia" w:hAnsiTheme="minorHAnsi" w:cstheme="minorBidi"/>
              <w:noProof/>
              <w:sz w:val="24"/>
            </w:rPr>
          </w:pPr>
          <w:hyperlink w:anchor="_Toc218083739" w:history="1">
            <w:r w:rsidRPr="00E00484">
              <w:rPr>
                <w:rStyle w:val="Hyperlink"/>
                <w:b/>
                <w:bCs/>
                <w:noProof/>
              </w:rPr>
              <w:t>II.</w:t>
            </w:r>
            <w:r>
              <w:rPr>
                <w:rFonts w:asciiTheme="minorHAnsi" w:eastAsiaTheme="minorEastAsia" w:hAnsiTheme="minorHAnsi" w:cstheme="minorBidi"/>
                <w:noProof/>
                <w:sz w:val="24"/>
              </w:rPr>
              <w:tab/>
            </w:r>
            <w:r w:rsidRPr="00E00484">
              <w:rPr>
                <w:rStyle w:val="Hyperlink"/>
                <w:b/>
                <w:noProof/>
              </w:rPr>
              <w:t>Actions Based on Stereotypes and Assumptions</w:t>
            </w:r>
            <w:r>
              <w:rPr>
                <w:noProof/>
                <w:webHidden/>
              </w:rPr>
              <w:tab/>
            </w:r>
            <w:r>
              <w:rPr>
                <w:noProof/>
                <w:webHidden/>
              </w:rPr>
              <w:fldChar w:fldCharType="begin"/>
            </w:r>
            <w:r>
              <w:rPr>
                <w:noProof/>
                <w:webHidden/>
              </w:rPr>
              <w:instrText xml:space="preserve"> PAGEREF _Toc218083739 \h </w:instrText>
            </w:r>
            <w:r>
              <w:rPr>
                <w:noProof/>
                <w:webHidden/>
              </w:rPr>
            </w:r>
            <w:r>
              <w:rPr>
                <w:noProof/>
                <w:webHidden/>
              </w:rPr>
              <w:fldChar w:fldCharType="separate"/>
            </w:r>
            <w:r>
              <w:rPr>
                <w:noProof/>
                <w:webHidden/>
              </w:rPr>
              <w:t>17</w:t>
            </w:r>
            <w:r>
              <w:rPr>
                <w:noProof/>
                <w:webHidden/>
              </w:rPr>
              <w:fldChar w:fldCharType="end"/>
            </w:r>
          </w:hyperlink>
        </w:p>
        <w:p w14:paraId="64DEF0C4" w14:textId="2D4AA3C5" w:rsidR="007C1721" w:rsidRDefault="007C1721">
          <w:pPr>
            <w:pStyle w:val="TOC2"/>
            <w:rPr>
              <w:rFonts w:asciiTheme="minorHAnsi" w:eastAsiaTheme="minorEastAsia" w:hAnsiTheme="minorHAnsi" w:cstheme="minorBidi"/>
              <w:noProof/>
              <w:sz w:val="24"/>
            </w:rPr>
          </w:pPr>
          <w:hyperlink w:anchor="_Toc218083740" w:history="1">
            <w:r w:rsidRPr="00E00484">
              <w:rPr>
                <w:rStyle w:val="Hyperlink"/>
                <w:rFonts w:cs="Arial"/>
                <w:b/>
                <w:bCs/>
                <w:noProof/>
              </w:rPr>
              <w:t>B.</w:t>
            </w:r>
            <w:r>
              <w:rPr>
                <w:rFonts w:asciiTheme="minorHAnsi" w:eastAsiaTheme="minorEastAsia" w:hAnsiTheme="minorHAnsi" w:cstheme="minorBidi"/>
                <w:noProof/>
                <w:sz w:val="24"/>
              </w:rPr>
              <w:tab/>
            </w:r>
            <w:r w:rsidRPr="00E00484">
              <w:rPr>
                <w:rStyle w:val="Hyperlink"/>
                <w:rFonts w:cs="Arial"/>
                <w:b/>
                <w:noProof/>
              </w:rPr>
              <w:t>Neutral Policies that have a Discriminatory Impact</w:t>
            </w:r>
            <w:r>
              <w:rPr>
                <w:noProof/>
                <w:webHidden/>
              </w:rPr>
              <w:tab/>
            </w:r>
            <w:r>
              <w:rPr>
                <w:noProof/>
                <w:webHidden/>
              </w:rPr>
              <w:fldChar w:fldCharType="begin"/>
            </w:r>
            <w:r>
              <w:rPr>
                <w:noProof/>
                <w:webHidden/>
              </w:rPr>
              <w:instrText xml:space="preserve"> PAGEREF _Toc218083740 \h </w:instrText>
            </w:r>
            <w:r>
              <w:rPr>
                <w:noProof/>
                <w:webHidden/>
              </w:rPr>
            </w:r>
            <w:r>
              <w:rPr>
                <w:noProof/>
                <w:webHidden/>
              </w:rPr>
              <w:fldChar w:fldCharType="separate"/>
            </w:r>
            <w:r>
              <w:rPr>
                <w:noProof/>
                <w:webHidden/>
              </w:rPr>
              <w:t>18</w:t>
            </w:r>
            <w:r>
              <w:rPr>
                <w:noProof/>
                <w:webHidden/>
              </w:rPr>
              <w:fldChar w:fldCharType="end"/>
            </w:r>
          </w:hyperlink>
        </w:p>
        <w:p w14:paraId="57C78D75" w14:textId="05C91C4B" w:rsidR="007C1721" w:rsidRDefault="007C1721">
          <w:pPr>
            <w:pStyle w:val="TOC3"/>
            <w:rPr>
              <w:rFonts w:asciiTheme="minorHAnsi" w:eastAsiaTheme="minorEastAsia" w:hAnsiTheme="minorHAnsi" w:cstheme="minorBidi"/>
              <w:noProof/>
              <w:sz w:val="24"/>
            </w:rPr>
          </w:pPr>
          <w:hyperlink w:anchor="_Toc218083741" w:history="1">
            <w:r w:rsidRPr="00E00484">
              <w:rPr>
                <w:rStyle w:val="Hyperlink"/>
                <w:b/>
                <w:bCs/>
                <w:noProof/>
              </w:rPr>
              <w:t>i.</w:t>
            </w:r>
            <w:r>
              <w:rPr>
                <w:rFonts w:asciiTheme="minorHAnsi" w:eastAsiaTheme="minorEastAsia" w:hAnsiTheme="minorHAnsi" w:cstheme="minorBidi"/>
                <w:noProof/>
                <w:sz w:val="24"/>
              </w:rPr>
              <w:tab/>
            </w:r>
            <w:r w:rsidRPr="00E00484">
              <w:rPr>
                <w:rStyle w:val="Hyperlink"/>
                <w:rFonts w:cs="Arial"/>
                <w:b/>
                <w:bCs/>
                <w:noProof/>
              </w:rPr>
              <w:t>Establishing Disparate Impact Claims</w:t>
            </w:r>
            <w:r>
              <w:rPr>
                <w:noProof/>
                <w:webHidden/>
              </w:rPr>
              <w:tab/>
            </w:r>
            <w:r>
              <w:rPr>
                <w:noProof/>
                <w:webHidden/>
              </w:rPr>
              <w:fldChar w:fldCharType="begin"/>
            </w:r>
            <w:r>
              <w:rPr>
                <w:noProof/>
                <w:webHidden/>
              </w:rPr>
              <w:instrText xml:space="preserve"> PAGEREF _Toc218083741 \h </w:instrText>
            </w:r>
            <w:r>
              <w:rPr>
                <w:noProof/>
                <w:webHidden/>
              </w:rPr>
            </w:r>
            <w:r>
              <w:rPr>
                <w:noProof/>
                <w:webHidden/>
              </w:rPr>
              <w:fldChar w:fldCharType="separate"/>
            </w:r>
            <w:r>
              <w:rPr>
                <w:noProof/>
                <w:webHidden/>
              </w:rPr>
              <w:t>19</w:t>
            </w:r>
            <w:r>
              <w:rPr>
                <w:noProof/>
                <w:webHidden/>
              </w:rPr>
              <w:fldChar w:fldCharType="end"/>
            </w:r>
          </w:hyperlink>
        </w:p>
        <w:p w14:paraId="1D8A9DD1" w14:textId="666195A8" w:rsidR="007C1721" w:rsidRDefault="007C1721">
          <w:pPr>
            <w:pStyle w:val="TOC2"/>
            <w:rPr>
              <w:rFonts w:asciiTheme="minorHAnsi" w:eastAsiaTheme="minorEastAsia" w:hAnsiTheme="minorHAnsi" w:cstheme="minorBidi"/>
              <w:noProof/>
              <w:sz w:val="24"/>
            </w:rPr>
          </w:pPr>
          <w:hyperlink w:anchor="_Toc218083742" w:history="1">
            <w:r w:rsidRPr="00E00484">
              <w:rPr>
                <w:rStyle w:val="Hyperlink"/>
                <w:b/>
                <w:bCs/>
                <w:noProof/>
              </w:rPr>
              <w:t>C.</w:t>
            </w:r>
            <w:r>
              <w:rPr>
                <w:rFonts w:asciiTheme="minorHAnsi" w:eastAsiaTheme="minorEastAsia" w:hAnsiTheme="minorHAnsi" w:cstheme="minorBidi"/>
                <w:noProof/>
                <w:sz w:val="24"/>
              </w:rPr>
              <w:tab/>
            </w:r>
            <w:r w:rsidRPr="00E00484">
              <w:rPr>
                <w:rStyle w:val="Hyperlink"/>
                <w:rFonts w:cs="Arial"/>
                <w:b/>
                <w:noProof/>
              </w:rPr>
              <w:t>Artificial Intelligence</w:t>
            </w:r>
            <w:r>
              <w:rPr>
                <w:noProof/>
                <w:webHidden/>
              </w:rPr>
              <w:tab/>
            </w:r>
            <w:r>
              <w:rPr>
                <w:noProof/>
                <w:webHidden/>
              </w:rPr>
              <w:fldChar w:fldCharType="begin"/>
            </w:r>
            <w:r>
              <w:rPr>
                <w:noProof/>
                <w:webHidden/>
              </w:rPr>
              <w:instrText xml:space="preserve"> PAGEREF _Toc218083742 \h </w:instrText>
            </w:r>
            <w:r>
              <w:rPr>
                <w:noProof/>
                <w:webHidden/>
              </w:rPr>
            </w:r>
            <w:r>
              <w:rPr>
                <w:noProof/>
                <w:webHidden/>
              </w:rPr>
              <w:fldChar w:fldCharType="separate"/>
            </w:r>
            <w:r>
              <w:rPr>
                <w:noProof/>
                <w:webHidden/>
              </w:rPr>
              <w:t>20</w:t>
            </w:r>
            <w:r>
              <w:rPr>
                <w:noProof/>
                <w:webHidden/>
              </w:rPr>
              <w:fldChar w:fldCharType="end"/>
            </w:r>
          </w:hyperlink>
        </w:p>
        <w:p w14:paraId="69D52C5F" w14:textId="38B1C2F5" w:rsidR="007C1721" w:rsidRDefault="007C1721">
          <w:pPr>
            <w:pStyle w:val="TOC2"/>
            <w:rPr>
              <w:rFonts w:asciiTheme="minorHAnsi" w:eastAsiaTheme="minorEastAsia" w:hAnsiTheme="minorHAnsi" w:cstheme="minorBidi"/>
              <w:noProof/>
              <w:sz w:val="24"/>
            </w:rPr>
          </w:pPr>
          <w:hyperlink w:anchor="_Toc218083743" w:history="1">
            <w:r w:rsidRPr="00E00484">
              <w:rPr>
                <w:rStyle w:val="Hyperlink"/>
                <w:b/>
                <w:bCs/>
                <w:noProof/>
              </w:rPr>
              <w:t>D.</w:t>
            </w:r>
            <w:r>
              <w:rPr>
                <w:rFonts w:asciiTheme="minorHAnsi" w:eastAsiaTheme="minorEastAsia" w:hAnsiTheme="minorHAnsi" w:cstheme="minorBidi"/>
                <w:noProof/>
                <w:sz w:val="24"/>
              </w:rPr>
              <w:tab/>
            </w:r>
            <w:r w:rsidRPr="00E00484">
              <w:rPr>
                <w:rStyle w:val="Hyperlink"/>
                <w:rFonts w:cs="Arial"/>
                <w:b/>
                <w:noProof/>
              </w:rPr>
              <w:t>Reasonable Accommodations</w:t>
            </w:r>
            <w:r>
              <w:rPr>
                <w:noProof/>
                <w:webHidden/>
              </w:rPr>
              <w:tab/>
            </w:r>
            <w:r>
              <w:rPr>
                <w:noProof/>
                <w:webHidden/>
              </w:rPr>
              <w:fldChar w:fldCharType="begin"/>
            </w:r>
            <w:r>
              <w:rPr>
                <w:noProof/>
                <w:webHidden/>
              </w:rPr>
              <w:instrText xml:space="preserve"> PAGEREF _Toc218083743 \h </w:instrText>
            </w:r>
            <w:r>
              <w:rPr>
                <w:noProof/>
                <w:webHidden/>
              </w:rPr>
            </w:r>
            <w:r>
              <w:rPr>
                <w:noProof/>
                <w:webHidden/>
              </w:rPr>
              <w:fldChar w:fldCharType="separate"/>
            </w:r>
            <w:r>
              <w:rPr>
                <w:noProof/>
                <w:webHidden/>
              </w:rPr>
              <w:t>23</w:t>
            </w:r>
            <w:r>
              <w:rPr>
                <w:noProof/>
                <w:webHidden/>
              </w:rPr>
              <w:fldChar w:fldCharType="end"/>
            </w:r>
          </w:hyperlink>
        </w:p>
        <w:p w14:paraId="3214235C" w14:textId="525D348A" w:rsidR="007C1721" w:rsidRDefault="007C1721">
          <w:pPr>
            <w:pStyle w:val="TOC3"/>
            <w:rPr>
              <w:rFonts w:asciiTheme="minorHAnsi" w:eastAsiaTheme="minorEastAsia" w:hAnsiTheme="minorHAnsi" w:cstheme="minorBidi"/>
              <w:noProof/>
              <w:sz w:val="24"/>
            </w:rPr>
          </w:pPr>
          <w:hyperlink w:anchor="_Toc218083744" w:history="1">
            <w:r w:rsidRPr="00E00484">
              <w:rPr>
                <w:rStyle w:val="Hyperlink"/>
                <w:b/>
                <w:bCs/>
                <w:noProof/>
              </w:rPr>
              <w:t>i.</w:t>
            </w:r>
            <w:r>
              <w:rPr>
                <w:rFonts w:asciiTheme="minorHAnsi" w:eastAsiaTheme="minorEastAsia" w:hAnsiTheme="minorHAnsi" w:cstheme="minorBidi"/>
                <w:noProof/>
                <w:sz w:val="24"/>
              </w:rPr>
              <w:tab/>
            </w:r>
            <w:r w:rsidRPr="00E00484">
              <w:rPr>
                <w:rStyle w:val="Hyperlink"/>
                <w:rFonts w:cs="Arial"/>
                <w:b/>
                <w:bCs/>
                <w:noProof/>
              </w:rPr>
              <w:t>Service Animals and Emotional Support Animals</w:t>
            </w:r>
            <w:r>
              <w:rPr>
                <w:noProof/>
                <w:webHidden/>
              </w:rPr>
              <w:tab/>
            </w:r>
            <w:r>
              <w:rPr>
                <w:noProof/>
                <w:webHidden/>
              </w:rPr>
              <w:fldChar w:fldCharType="begin"/>
            </w:r>
            <w:r>
              <w:rPr>
                <w:noProof/>
                <w:webHidden/>
              </w:rPr>
              <w:instrText xml:space="preserve"> PAGEREF _Toc218083744 \h </w:instrText>
            </w:r>
            <w:r>
              <w:rPr>
                <w:noProof/>
                <w:webHidden/>
              </w:rPr>
            </w:r>
            <w:r>
              <w:rPr>
                <w:noProof/>
                <w:webHidden/>
              </w:rPr>
              <w:fldChar w:fldCharType="separate"/>
            </w:r>
            <w:r>
              <w:rPr>
                <w:noProof/>
                <w:webHidden/>
              </w:rPr>
              <w:t>26</w:t>
            </w:r>
            <w:r>
              <w:rPr>
                <w:noProof/>
                <w:webHidden/>
              </w:rPr>
              <w:fldChar w:fldCharType="end"/>
            </w:r>
          </w:hyperlink>
        </w:p>
        <w:p w14:paraId="499D5B03" w14:textId="3A37DBE2" w:rsidR="007C1721" w:rsidRDefault="007C1721">
          <w:pPr>
            <w:pStyle w:val="TOC3"/>
            <w:rPr>
              <w:rFonts w:asciiTheme="minorHAnsi" w:eastAsiaTheme="minorEastAsia" w:hAnsiTheme="minorHAnsi" w:cstheme="minorBidi"/>
              <w:noProof/>
              <w:sz w:val="24"/>
            </w:rPr>
          </w:pPr>
          <w:hyperlink w:anchor="_Toc218083745" w:history="1">
            <w:r w:rsidRPr="00E00484">
              <w:rPr>
                <w:rStyle w:val="Hyperlink"/>
                <w:b/>
                <w:bCs/>
                <w:noProof/>
              </w:rPr>
              <w:t>ii.</w:t>
            </w:r>
            <w:r>
              <w:rPr>
                <w:rFonts w:asciiTheme="minorHAnsi" w:eastAsiaTheme="minorEastAsia" w:hAnsiTheme="minorHAnsi" w:cstheme="minorBidi"/>
                <w:noProof/>
                <w:sz w:val="24"/>
              </w:rPr>
              <w:tab/>
            </w:r>
            <w:r w:rsidRPr="00E00484">
              <w:rPr>
                <w:rStyle w:val="Hyperlink"/>
                <w:b/>
                <w:bCs/>
                <w:noProof/>
              </w:rPr>
              <w:t>Reasonable Accommodation Process</w:t>
            </w:r>
            <w:r>
              <w:rPr>
                <w:noProof/>
                <w:webHidden/>
              </w:rPr>
              <w:tab/>
            </w:r>
            <w:r>
              <w:rPr>
                <w:noProof/>
                <w:webHidden/>
              </w:rPr>
              <w:fldChar w:fldCharType="begin"/>
            </w:r>
            <w:r>
              <w:rPr>
                <w:noProof/>
                <w:webHidden/>
              </w:rPr>
              <w:instrText xml:space="preserve"> PAGEREF _Toc218083745 \h </w:instrText>
            </w:r>
            <w:r>
              <w:rPr>
                <w:noProof/>
                <w:webHidden/>
              </w:rPr>
            </w:r>
            <w:r>
              <w:rPr>
                <w:noProof/>
                <w:webHidden/>
              </w:rPr>
              <w:fldChar w:fldCharType="separate"/>
            </w:r>
            <w:r>
              <w:rPr>
                <w:noProof/>
                <w:webHidden/>
              </w:rPr>
              <w:t>28</w:t>
            </w:r>
            <w:r>
              <w:rPr>
                <w:noProof/>
                <w:webHidden/>
              </w:rPr>
              <w:fldChar w:fldCharType="end"/>
            </w:r>
          </w:hyperlink>
        </w:p>
        <w:p w14:paraId="34B94CB8" w14:textId="422819DC" w:rsidR="007C1721" w:rsidRDefault="007C1721">
          <w:pPr>
            <w:pStyle w:val="TOC3"/>
            <w:rPr>
              <w:rFonts w:asciiTheme="minorHAnsi" w:eastAsiaTheme="minorEastAsia" w:hAnsiTheme="minorHAnsi" w:cstheme="minorBidi"/>
              <w:noProof/>
              <w:sz w:val="24"/>
            </w:rPr>
          </w:pPr>
          <w:hyperlink w:anchor="_Toc218083746" w:history="1">
            <w:r w:rsidRPr="00E00484">
              <w:rPr>
                <w:rStyle w:val="Hyperlink"/>
                <w:rFonts w:cs="Arial"/>
                <w:b/>
                <w:bCs/>
                <w:noProof/>
              </w:rPr>
              <w:t>iii.</w:t>
            </w:r>
            <w:r>
              <w:rPr>
                <w:rFonts w:asciiTheme="minorHAnsi" w:eastAsiaTheme="minorEastAsia" w:hAnsiTheme="minorHAnsi" w:cstheme="minorBidi"/>
                <w:noProof/>
                <w:sz w:val="24"/>
              </w:rPr>
              <w:tab/>
            </w:r>
            <w:r w:rsidRPr="00E00484">
              <w:rPr>
                <w:rStyle w:val="Hyperlink"/>
                <w:rFonts w:cs="Arial"/>
                <w:b/>
                <w:bCs/>
                <w:noProof/>
              </w:rPr>
              <w:t>Defenses to Reasonable Accommodations Claims</w:t>
            </w:r>
            <w:r>
              <w:rPr>
                <w:noProof/>
                <w:webHidden/>
              </w:rPr>
              <w:tab/>
            </w:r>
            <w:r>
              <w:rPr>
                <w:noProof/>
                <w:webHidden/>
              </w:rPr>
              <w:fldChar w:fldCharType="begin"/>
            </w:r>
            <w:r>
              <w:rPr>
                <w:noProof/>
                <w:webHidden/>
              </w:rPr>
              <w:instrText xml:space="preserve"> PAGEREF _Toc218083746 \h </w:instrText>
            </w:r>
            <w:r>
              <w:rPr>
                <w:noProof/>
                <w:webHidden/>
              </w:rPr>
            </w:r>
            <w:r>
              <w:rPr>
                <w:noProof/>
                <w:webHidden/>
              </w:rPr>
              <w:fldChar w:fldCharType="separate"/>
            </w:r>
            <w:r>
              <w:rPr>
                <w:noProof/>
                <w:webHidden/>
              </w:rPr>
              <w:t>39</w:t>
            </w:r>
            <w:r>
              <w:rPr>
                <w:noProof/>
                <w:webHidden/>
              </w:rPr>
              <w:fldChar w:fldCharType="end"/>
            </w:r>
          </w:hyperlink>
        </w:p>
        <w:p w14:paraId="43C10563" w14:textId="7BE50B93" w:rsidR="007C1721" w:rsidRDefault="007C1721">
          <w:pPr>
            <w:pStyle w:val="TOC1"/>
            <w:tabs>
              <w:tab w:val="right" w:leader="dot" w:pos="9926"/>
            </w:tabs>
            <w:rPr>
              <w:rFonts w:asciiTheme="minorHAnsi" w:eastAsiaTheme="minorEastAsia" w:hAnsiTheme="minorHAnsi" w:cstheme="minorBidi"/>
              <w:noProof/>
              <w:sz w:val="24"/>
            </w:rPr>
          </w:pPr>
          <w:hyperlink w:anchor="_Toc218083747" w:history="1">
            <w:r w:rsidRPr="00E00484">
              <w:rPr>
                <w:rStyle w:val="Hyperlink"/>
                <w:rFonts w:cs="Arial"/>
                <w:b/>
                <w:bCs/>
                <w:noProof/>
              </w:rPr>
              <w:t>PART II: NYCHRL Disability Protections in Employment, Public Accommodations, and Housing</w:t>
            </w:r>
            <w:r>
              <w:rPr>
                <w:noProof/>
                <w:webHidden/>
              </w:rPr>
              <w:tab/>
            </w:r>
            <w:r>
              <w:rPr>
                <w:noProof/>
                <w:webHidden/>
              </w:rPr>
              <w:fldChar w:fldCharType="begin"/>
            </w:r>
            <w:r>
              <w:rPr>
                <w:noProof/>
                <w:webHidden/>
              </w:rPr>
              <w:instrText xml:space="preserve"> PAGEREF _Toc218083747 \h </w:instrText>
            </w:r>
            <w:r>
              <w:rPr>
                <w:noProof/>
                <w:webHidden/>
              </w:rPr>
            </w:r>
            <w:r>
              <w:rPr>
                <w:noProof/>
                <w:webHidden/>
              </w:rPr>
              <w:fldChar w:fldCharType="separate"/>
            </w:r>
            <w:r>
              <w:rPr>
                <w:noProof/>
                <w:webHidden/>
              </w:rPr>
              <w:t>41</w:t>
            </w:r>
            <w:r>
              <w:rPr>
                <w:noProof/>
                <w:webHidden/>
              </w:rPr>
              <w:fldChar w:fldCharType="end"/>
            </w:r>
          </w:hyperlink>
        </w:p>
        <w:p w14:paraId="5EF878EF" w14:textId="404669C3" w:rsidR="007C1721" w:rsidRDefault="007C1721">
          <w:pPr>
            <w:pStyle w:val="TOC2"/>
            <w:rPr>
              <w:rFonts w:asciiTheme="minorHAnsi" w:eastAsiaTheme="minorEastAsia" w:hAnsiTheme="minorHAnsi" w:cstheme="minorBidi"/>
              <w:noProof/>
              <w:sz w:val="24"/>
            </w:rPr>
          </w:pPr>
          <w:hyperlink w:anchor="_Toc218083748" w:history="1">
            <w:r w:rsidRPr="00E00484">
              <w:rPr>
                <w:rStyle w:val="Hyperlink"/>
                <w:rFonts w:ascii="Helvetica Neue" w:hAnsi="Helvetica Neue" w:cs="Arial"/>
                <w:b/>
                <w:bCs/>
                <w:noProof/>
              </w:rPr>
              <w:t>A.</w:t>
            </w:r>
            <w:r>
              <w:rPr>
                <w:rFonts w:asciiTheme="minorHAnsi" w:eastAsiaTheme="minorEastAsia" w:hAnsiTheme="minorHAnsi" w:cstheme="minorBidi"/>
                <w:noProof/>
                <w:sz w:val="24"/>
              </w:rPr>
              <w:tab/>
            </w:r>
            <w:r w:rsidRPr="00E00484">
              <w:rPr>
                <w:rStyle w:val="Hyperlink"/>
                <w:rFonts w:cs="Arial"/>
                <w:b/>
                <w:bCs/>
                <w:noProof/>
              </w:rPr>
              <w:t>Disability Protections in Employment</w:t>
            </w:r>
            <w:r>
              <w:rPr>
                <w:noProof/>
                <w:webHidden/>
              </w:rPr>
              <w:tab/>
            </w:r>
            <w:r>
              <w:rPr>
                <w:noProof/>
                <w:webHidden/>
              </w:rPr>
              <w:fldChar w:fldCharType="begin"/>
            </w:r>
            <w:r>
              <w:rPr>
                <w:noProof/>
                <w:webHidden/>
              </w:rPr>
              <w:instrText xml:space="preserve"> PAGEREF _Toc218083748 \h </w:instrText>
            </w:r>
            <w:r>
              <w:rPr>
                <w:noProof/>
                <w:webHidden/>
              </w:rPr>
            </w:r>
            <w:r>
              <w:rPr>
                <w:noProof/>
                <w:webHidden/>
              </w:rPr>
              <w:fldChar w:fldCharType="separate"/>
            </w:r>
            <w:r>
              <w:rPr>
                <w:noProof/>
                <w:webHidden/>
              </w:rPr>
              <w:t>41</w:t>
            </w:r>
            <w:r>
              <w:rPr>
                <w:noProof/>
                <w:webHidden/>
              </w:rPr>
              <w:fldChar w:fldCharType="end"/>
            </w:r>
          </w:hyperlink>
        </w:p>
        <w:p w14:paraId="7D445E15" w14:textId="7FCF5810" w:rsidR="007C1721" w:rsidRDefault="007C1721">
          <w:pPr>
            <w:pStyle w:val="TOC3"/>
            <w:rPr>
              <w:rFonts w:asciiTheme="minorHAnsi" w:eastAsiaTheme="minorEastAsia" w:hAnsiTheme="minorHAnsi" w:cstheme="minorBidi"/>
              <w:noProof/>
              <w:sz w:val="24"/>
            </w:rPr>
          </w:pPr>
          <w:hyperlink w:anchor="_Toc218083749" w:history="1">
            <w:r w:rsidRPr="00E00484">
              <w:rPr>
                <w:rStyle w:val="Hyperlink"/>
                <w:rFonts w:cs="Arial"/>
                <w:b/>
                <w:bCs/>
                <w:noProof/>
              </w:rPr>
              <w:t>i.</w:t>
            </w:r>
            <w:r>
              <w:rPr>
                <w:rFonts w:asciiTheme="minorHAnsi" w:eastAsiaTheme="minorEastAsia" w:hAnsiTheme="minorHAnsi" w:cstheme="minorBidi"/>
                <w:noProof/>
                <w:sz w:val="24"/>
              </w:rPr>
              <w:tab/>
            </w:r>
            <w:r w:rsidRPr="00E00484">
              <w:rPr>
                <w:rStyle w:val="Hyperlink"/>
                <w:rFonts w:cs="Arial"/>
                <w:b/>
                <w:bCs/>
                <w:noProof/>
              </w:rPr>
              <w:t>Postings, Applications, and Selection Processes</w:t>
            </w:r>
            <w:r>
              <w:rPr>
                <w:noProof/>
                <w:webHidden/>
              </w:rPr>
              <w:tab/>
            </w:r>
            <w:r>
              <w:rPr>
                <w:noProof/>
                <w:webHidden/>
              </w:rPr>
              <w:fldChar w:fldCharType="begin"/>
            </w:r>
            <w:r>
              <w:rPr>
                <w:noProof/>
                <w:webHidden/>
              </w:rPr>
              <w:instrText xml:space="preserve"> PAGEREF _Toc218083749 \h </w:instrText>
            </w:r>
            <w:r>
              <w:rPr>
                <w:noProof/>
                <w:webHidden/>
              </w:rPr>
            </w:r>
            <w:r>
              <w:rPr>
                <w:noProof/>
                <w:webHidden/>
              </w:rPr>
              <w:fldChar w:fldCharType="separate"/>
            </w:r>
            <w:r>
              <w:rPr>
                <w:noProof/>
                <w:webHidden/>
              </w:rPr>
              <w:t>42</w:t>
            </w:r>
            <w:r>
              <w:rPr>
                <w:noProof/>
                <w:webHidden/>
              </w:rPr>
              <w:fldChar w:fldCharType="end"/>
            </w:r>
          </w:hyperlink>
        </w:p>
        <w:p w14:paraId="42DA5619" w14:textId="4EFDAC3B" w:rsidR="007C1721" w:rsidRDefault="007C1721">
          <w:pPr>
            <w:pStyle w:val="TOC3"/>
            <w:rPr>
              <w:rFonts w:asciiTheme="minorHAnsi" w:eastAsiaTheme="minorEastAsia" w:hAnsiTheme="minorHAnsi" w:cstheme="minorBidi"/>
              <w:noProof/>
              <w:sz w:val="24"/>
            </w:rPr>
          </w:pPr>
          <w:hyperlink w:anchor="_Toc218083750" w:history="1">
            <w:r w:rsidRPr="00E00484">
              <w:rPr>
                <w:rStyle w:val="Hyperlink"/>
                <w:rFonts w:cs="Arial"/>
                <w:b/>
                <w:bCs/>
                <w:noProof/>
              </w:rPr>
              <w:t>ii.</w:t>
            </w:r>
            <w:r>
              <w:rPr>
                <w:rFonts w:asciiTheme="minorHAnsi" w:eastAsiaTheme="minorEastAsia" w:hAnsiTheme="minorHAnsi" w:cstheme="minorBidi"/>
                <w:noProof/>
                <w:sz w:val="24"/>
              </w:rPr>
              <w:tab/>
            </w:r>
            <w:r w:rsidRPr="00E00484">
              <w:rPr>
                <w:rStyle w:val="Hyperlink"/>
                <w:rFonts w:cs="Arial"/>
                <w:b/>
                <w:bCs/>
                <w:noProof/>
              </w:rPr>
              <w:t>Procedures Related to Current Employees</w:t>
            </w:r>
            <w:r>
              <w:rPr>
                <w:noProof/>
                <w:webHidden/>
              </w:rPr>
              <w:tab/>
            </w:r>
            <w:r>
              <w:rPr>
                <w:noProof/>
                <w:webHidden/>
              </w:rPr>
              <w:fldChar w:fldCharType="begin"/>
            </w:r>
            <w:r>
              <w:rPr>
                <w:noProof/>
                <w:webHidden/>
              </w:rPr>
              <w:instrText xml:space="preserve"> PAGEREF _Toc218083750 \h </w:instrText>
            </w:r>
            <w:r>
              <w:rPr>
                <w:noProof/>
                <w:webHidden/>
              </w:rPr>
            </w:r>
            <w:r>
              <w:rPr>
                <w:noProof/>
                <w:webHidden/>
              </w:rPr>
              <w:fldChar w:fldCharType="separate"/>
            </w:r>
            <w:r>
              <w:rPr>
                <w:noProof/>
                <w:webHidden/>
              </w:rPr>
              <w:t>46</w:t>
            </w:r>
            <w:r>
              <w:rPr>
                <w:noProof/>
                <w:webHidden/>
              </w:rPr>
              <w:fldChar w:fldCharType="end"/>
            </w:r>
          </w:hyperlink>
        </w:p>
        <w:p w14:paraId="4D25CA55" w14:textId="4C553D5E" w:rsidR="007C1721" w:rsidRDefault="007C1721">
          <w:pPr>
            <w:pStyle w:val="TOC3"/>
            <w:rPr>
              <w:rFonts w:asciiTheme="minorHAnsi" w:eastAsiaTheme="minorEastAsia" w:hAnsiTheme="minorHAnsi" w:cstheme="minorBidi"/>
              <w:noProof/>
              <w:sz w:val="24"/>
            </w:rPr>
          </w:pPr>
          <w:hyperlink w:anchor="_Toc218083751" w:history="1">
            <w:r w:rsidRPr="00E00484">
              <w:rPr>
                <w:rStyle w:val="Hyperlink"/>
                <w:rFonts w:cs="Arial"/>
                <w:b/>
                <w:bCs/>
                <w:noProof/>
              </w:rPr>
              <w:t>iii.</w:t>
            </w:r>
            <w:r>
              <w:rPr>
                <w:rFonts w:asciiTheme="minorHAnsi" w:eastAsiaTheme="minorEastAsia" w:hAnsiTheme="minorHAnsi" w:cstheme="minorBidi"/>
                <w:noProof/>
                <w:sz w:val="24"/>
              </w:rPr>
              <w:tab/>
            </w:r>
            <w:r w:rsidRPr="00E00484">
              <w:rPr>
                <w:rStyle w:val="Hyperlink"/>
                <w:rFonts w:cs="Arial"/>
                <w:b/>
                <w:bCs/>
                <w:noProof/>
              </w:rPr>
              <w:t>Reasonable Accommodations in Employment</w:t>
            </w:r>
            <w:r>
              <w:rPr>
                <w:noProof/>
                <w:webHidden/>
              </w:rPr>
              <w:tab/>
            </w:r>
            <w:r>
              <w:rPr>
                <w:noProof/>
                <w:webHidden/>
              </w:rPr>
              <w:fldChar w:fldCharType="begin"/>
            </w:r>
            <w:r>
              <w:rPr>
                <w:noProof/>
                <w:webHidden/>
              </w:rPr>
              <w:instrText xml:space="preserve"> PAGEREF _Toc218083751 \h </w:instrText>
            </w:r>
            <w:r>
              <w:rPr>
                <w:noProof/>
                <w:webHidden/>
              </w:rPr>
            </w:r>
            <w:r>
              <w:rPr>
                <w:noProof/>
                <w:webHidden/>
              </w:rPr>
              <w:fldChar w:fldCharType="separate"/>
            </w:r>
            <w:r>
              <w:rPr>
                <w:noProof/>
                <w:webHidden/>
              </w:rPr>
              <w:t>48</w:t>
            </w:r>
            <w:r>
              <w:rPr>
                <w:noProof/>
                <w:webHidden/>
              </w:rPr>
              <w:fldChar w:fldCharType="end"/>
            </w:r>
          </w:hyperlink>
        </w:p>
        <w:p w14:paraId="3DD00322" w14:textId="53D8AEAB" w:rsidR="007C1721" w:rsidRDefault="007C1721">
          <w:pPr>
            <w:pStyle w:val="TOC3"/>
            <w:rPr>
              <w:rFonts w:asciiTheme="minorHAnsi" w:eastAsiaTheme="minorEastAsia" w:hAnsiTheme="minorHAnsi" w:cstheme="minorBidi"/>
              <w:noProof/>
              <w:sz w:val="24"/>
            </w:rPr>
          </w:pPr>
          <w:hyperlink w:anchor="_Toc218083752" w:history="1">
            <w:r w:rsidRPr="00E00484">
              <w:rPr>
                <w:rStyle w:val="Hyperlink"/>
                <w:rFonts w:cs="Arial"/>
                <w:b/>
                <w:bCs/>
                <w:noProof/>
              </w:rPr>
              <w:t>iv.</w:t>
            </w:r>
            <w:r>
              <w:rPr>
                <w:rFonts w:asciiTheme="minorHAnsi" w:eastAsiaTheme="minorEastAsia" w:hAnsiTheme="minorHAnsi" w:cstheme="minorBidi"/>
                <w:noProof/>
                <w:sz w:val="24"/>
              </w:rPr>
              <w:tab/>
            </w:r>
            <w:r w:rsidRPr="00E00484">
              <w:rPr>
                <w:rStyle w:val="Hyperlink"/>
                <w:rFonts w:cs="Arial"/>
                <w:b/>
                <w:bCs/>
                <w:noProof/>
              </w:rPr>
              <w:t>Defenses to a Claim of Failure to Provide Reasonable Accommodations in Employment</w:t>
            </w:r>
            <w:r>
              <w:rPr>
                <w:noProof/>
                <w:webHidden/>
              </w:rPr>
              <w:tab/>
            </w:r>
            <w:r>
              <w:rPr>
                <w:noProof/>
                <w:webHidden/>
              </w:rPr>
              <w:fldChar w:fldCharType="begin"/>
            </w:r>
            <w:r>
              <w:rPr>
                <w:noProof/>
                <w:webHidden/>
              </w:rPr>
              <w:instrText xml:space="preserve"> PAGEREF _Toc218083752 \h </w:instrText>
            </w:r>
            <w:r>
              <w:rPr>
                <w:noProof/>
                <w:webHidden/>
              </w:rPr>
            </w:r>
            <w:r>
              <w:rPr>
                <w:noProof/>
                <w:webHidden/>
              </w:rPr>
              <w:fldChar w:fldCharType="separate"/>
            </w:r>
            <w:r>
              <w:rPr>
                <w:noProof/>
                <w:webHidden/>
              </w:rPr>
              <w:t>55</w:t>
            </w:r>
            <w:r>
              <w:rPr>
                <w:noProof/>
                <w:webHidden/>
              </w:rPr>
              <w:fldChar w:fldCharType="end"/>
            </w:r>
          </w:hyperlink>
        </w:p>
        <w:p w14:paraId="70150A89" w14:textId="4D2E483F" w:rsidR="007C1721" w:rsidRDefault="007C1721">
          <w:pPr>
            <w:pStyle w:val="TOC2"/>
            <w:rPr>
              <w:rFonts w:asciiTheme="minorHAnsi" w:eastAsiaTheme="minorEastAsia" w:hAnsiTheme="minorHAnsi" w:cstheme="minorBidi"/>
              <w:noProof/>
              <w:sz w:val="24"/>
            </w:rPr>
          </w:pPr>
          <w:hyperlink w:anchor="_Toc218083753" w:history="1">
            <w:r w:rsidRPr="00E00484">
              <w:rPr>
                <w:rStyle w:val="Hyperlink"/>
                <w:rFonts w:cs="Arial"/>
                <w:b/>
                <w:bCs/>
                <w:noProof/>
              </w:rPr>
              <w:t>B.</w:t>
            </w:r>
            <w:r>
              <w:rPr>
                <w:rFonts w:asciiTheme="minorHAnsi" w:eastAsiaTheme="minorEastAsia" w:hAnsiTheme="minorHAnsi" w:cstheme="minorBidi"/>
                <w:noProof/>
                <w:sz w:val="24"/>
              </w:rPr>
              <w:tab/>
            </w:r>
            <w:r w:rsidRPr="00E00484">
              <w:rPr>
                <w:rStyle w:val="Hyperlink"/>
                <w:rFonts w:cs="Arial"/>
                <w:b/>
                <w:bCs/>
                <w:noProof/>
              </w:rPr>
              <w:t>Disability Protections in Public Accommodations</w:t>
            </w:r>
            <w:r>
              <w:rPr>
                <w:noProof/>
                <w:webHidden/>
              </w:rPr>
              <w:tab/>
            </w:r>
            <w:r>
              <w:rPr>
                <w:noProof/>
                <w:webHidden/>
              </w:rPr>
              <w:fldChar w:fldCharType="begin"/>
            </w:r>
            <w:r>
              <w:rPr>
                <w:noProof/>
                <w:webHidden/>
              </w:rPr>
              <w:instrText xml:space="preserve"> PAGEREF _Toc218083753 \h </w:instrText>
            </w:r>
            <w:r>
              <w:rPr>
                <w:noProof/>
                <w:webHidden/>
              </w:rPr>
            </w:r>
            <w:r>
              <w:rPr>
                <w:noProof/>
                <w:webHidden/>
              </w:rPr>
              <w:fldChar w:fldCharType="separate"/>
            </w:r>
            <w:r>
              <w:rPr>
                <w:noProof/>
                <w:webHidden/>
              </w:rPr>
              <w:t>61</w:t>
            </w:r>
            <w:r>
              <w:rPr>
                <w:noProof/>
                <w:webHidden/>
              </w:rPr>
              <w:fldChar w:fldCharType="end"/>
            </w:r>
          </w:hyperlink>
        </w:p>
        <w:p w14:paraId="72422C24" w14:textId="3E90D1AC" w:rsidR="007C1721" w:rsidRDefault="007C1721">
          <w:pPr>
            <w:pStyle w:val="TOC3"/>
            <w:rPr>
              <w:rFonts w:asciiTheme="minorHAnsi" w:eastAsiaTheme="minorEastAsia" w:hAnsiTheme="minorHAnsi" w:cstheme="minorBidi"/>
              <w:noProof/>
              <w:sz w:val="24"/>
            </w:rPr>
          </w:pPr>
          <w:hyperlink w:anchor="_Toc218083754" w:history="1">
            <w:r w:rsidRPr="00E00484">
              <w:rPr>
                <w:rStyle w:val="Hyperlink"/>
                <w:rFonts w:cs="Arial"/>
                <w:b/>
                <w:bCs/>
                <w:noProof/>
              </w:rPr>
              <w:t>i.</w:t>
            </w:r>
            <w:r>
              <w:rPr>
                <w:rFonts w:asciiTheme="minorHAnsi" w:eastAsiaTheme="minorEastAsia" w:hAnsiTheme="minorHAnsi" w:cstheme="minorBidi"/>
                <w:noProof/>
                <w:sz w:val="24"/>
              </w:rPr>
              <w:tab/>
            </w:r>
            <w:r w:rsidRPr="00E00484">
              <w:rPr>
                <w:rStyle w:val="Hyperlink"/>
                <w:rFonts w:cs="Arial"/>
                <w:b/>
                <w:bCs/>
                <w:noProof/>
              </w:rPr>
              <w:t>Postings, Applications, and Selection Processes</w:t>
            </w:r>
            <w:r>
              <w:rPr>
                <w:noProof/>
                <w:webHidden/>
              </w:rPr>
              <w:tab/>
            </w:r>
            <w:r>
              <w:rPr>
                <w:noProof/>
                <w:webHidden/>
              </w:rPr>
              <w:fldChar w:fldCharType="begin"/>
            </w:r>
            <w:r>
              <w:rPr>
                <w:noProof/>
                <w:webHidden/>
              </w:rPr>
              <w:instrText xml:space="preserve"> PAGEREF _Toc218083754 \h </w:instrText>
            </w:r>
            <w:r>
              <w:rPr>
                <w:noProof/>
                <w:webHidden/>
              </w:rPr>
            </w:r>
            <w:r>
              <w:rPr>
                <w:noProof/>
                <w:webHidden/>
              </w:rPr>
              <w:fldChar w:fldCharType="separate"/>
            </w:r>
            <w:r>
              <w:rPr>
                <w:noProof/>
                <w:webHidden/>
              </w:rPr>
              <w:t>62</w:t>
            </w:r>
            <w:r>
              <w:rPr>
                <w:noProof/>
                <w:webHidden/>
              </w:rPr>
              <w:fldChar w:fldCharType="end"/>
            </w:r>
          </w:hyperlink>
        </w:p>
        <w:p w14:paraId="6FA46360" w14:textId="2D1BF83D" w:rsidR="007C1721" w:rsidRDefault="007C1721">
          <w:pPr>
            <w:pStyle w:val="TOC3"/>
            <w:rPr>
              <w:rFonts w:asciiTheme="minorHAnsi" w:eastAsiaTheme="minorEastAsia" w:hAnsiTheme="minorHAnsi" w:cstheme="minorBidi"/>
              <w:noProof/>
              <w:sz w:val="24"/>
            </w:rPr>
          </w:pPr>
          <w:hyperlink w:anchor="_Toc218083755" w:history="1">
            <w:r w:rsidRPr="00E00484">
              <w:rPr>
                <w:rStyle w:val="Hyperlink"/>
                <w:rFonts w:cs="Arial"/>
                <w:b/>
                <w:bCs/>
                <w:noProof/>
              </w:rPr>
              <w:t>ii.</w:t>
            </w:r>
            <w:r>
              <w:rPr>
                <w:rFonts w:asciiTheme="minorHAnsi" w:eastAsiaTheme="minorEastAsia" w:hAnsiTheme="minorHAnsi" w:cstheme="minorBidi"/>
                <w:noProof/>
                <w:sz w:val="24"/>
              </w:rPr>
              <w:tab/>
            </w:r>
            <w:r w:rsidRPr="00E00484">
              <w:rPr>
                <w:rStyle w:val="Hyperlink"/>
                <w:rFonts w:cs="Arial"/>
                <w:b/>
                <w:bCs/>
                <w:noProof/>
              </w:rPr>
              <w:t>Reasonable Accommodations in Public Accommodations</w:t>
            </w:r>
            <w:r>
              <w:rPr>
                <w:noProof/>
                <w:webHidden/>
              </w:rPr>
              <w:tab/>
            </w:r>
            <w:r>
              <w:rPr>
                <w:noProof/>
                <w:webHidden/>
              </w:rPr>
              <w:fldChar w:fldCharType="begin"/>
            </w:r>
            <w:r>
              <w:rPr>
                <w:noProof/>
                <w:webHidden/>
              </w:rPr>
              <w:instrText xml:space="preserve"> PAGEREF _Toc218083755 \h </w:instrText>
            </w:r>
            <w:r>
              <w:rPr>
                <w:noProof/>
                <w:webHidden/>
              </w:rPr>
            </w:r>
            <w:r>
              <w:rPr>
                <w:noProof/>
                <w:webHidden/>
              </w:rPr>
              <w:fldChar w:fldCharType="separate"/>
            </w:r>
            <w:r>
              <w:rPr>
                <w:noProof/>
                <w:webHidden/>
              </w:rPr>
              <w:t>63</w:t>
            </w:r>
            <w:r>
              <w:rPr>
                <w:noProof/>
                <w:webHidden/>
              </w:rPr>
              <w:fldChar w:fldCharType="end"/>
            </w:r>
          </w:hyperlink>
        </w:p>
        <w:p w14:paraId="10855549" w14:textId="4DE01A47" w:rsidR="007C1721" w:rsidRDefault="007C1721">
          <w:pPr>
            <w:pStyle w:val="TOC3"/>
            <w:rPr>
              <w:rFonts w:asciiTheme="minorHAnsi" w:eastAsiaTheme="minorEastAsia" w:hAnsiTheme="minorHAnsi" w:cstheme="minorBidi"/>
              <w:noProof/>
              <w:sz w:val="24"/>
            </w:rPr>
          </w:pPr>
          <w:hyperlink w:anchor="_Toc218083756" w:history="1">
            <w:r w:rsidRPr="00E00484">
              <w:rPr>
                <w:rStyle w:val="Hyperlink"/>
                <w:rFonts w:cs="Arial"/>
                <w:b/>
                <w:bCs/>
                <w:noProof/>
              </w:rPr>
              <w:t>iii.</w:t>
            </w:r>
            <w:r>
              <w:rPr>
                <w:rFonts w:asciiTheme="minorHAnsi" w:eastAsiaTheme="minorEastAsia" w:hAnsiTheme="minorHAnsi" w:cstheme="minorBidi"/>
                <w:noProof/>
                <w:sz w:val="24"/>
              </w:rPr>
              <w:tab/>
            </w:r>
            <w:r w:rsidRPr="00E00484">
              <w:rPr>
                <w:rStyle w:val="Hyperlink"/>
                <w:rFonts w:cs="Arial"/>
                <w:b/>
                <w:bCs/>
                <w:noProof/>
              </w:rPr>
              <w:t>Defenses to a Claim of Failure to Provide Reasonable Accommodations in Public Accommodations</w:t>
            </w:r>
            <w:r>
              <w:rPr>
                <w:noProof/>
                <w:webHidden/>
              </w:rPr>
              <w:tab/>
            </w:r>
            <w:r>
              <w:rPr>
                <w:noProof/>
                <w:webHidden/>
              </w:rPr>
              <w:fldChar w:fldCharType="begin"/>
            </w:r>
            <w:r>
              <w:rPr>
                <w:noProof/>
                <w:webHidden/>
              </w:rPr>
              <w:instrText xml:space="preserve"> PAGEREF _Toc218083756 \h </w:instrText>
            </w:r>
            <w:r>
              <w:rPr>
                <w:noProof/>
                <w:webHidden/>
              </w:rPr>
            </w:r>
            <w:r>
              <w:rPr>
                <w:noProof/>
                <w:webHidden/>
              </w:rPr>
              <w:fldChar w:fldCharType="separate"/>
            </w:r>
            <w:r>
              <w:rPr>
                <w:noProof/>
                <w:webHidden/>
              </w:rPr>
              <w:t>68</w:t>
            </w:r>
            <w:r>
              <w:rPr>
                <w:noProof/>
                <w:webHidden/>
              </w:rPr>
              <w:fldChar w:fldCharType="end"/>
            </w:r>
          </w:hyperlink>
        </w:p>
        <w:p w14:paraId="66258B4A" w14:textId="6C36F8F9" w:rsidR="007C1721" w:rsidRDefault="007C1721">
          <w:pPr>
            <w:pStyle w:val="TOC2"/>
            <w:rPr>
              <w:rFonts w:asciiTheme="minorHAnsi" w:eastAsiaTheme="minorEastAsia" w:hAnsiTheme="minorHAnsi" w:cstheme="minorBidi"/>
              <w:noProof/>
              <w:sz w:val="24"/>
            </w:rPr>
          </w:pPr>
          <w:hyperlink w:anchor="_Toc218083757" w:history="1">
            <w:r w:rsidRPr="00E00484">
              <w:rPr>
                <w:rStyle w:val="Hyperlink"/>
                <w:rFonts w:cs="Arial"/>
                <w:b/>
                <w:bCs/>
                <w:noProof/>
              </w:rPr>
              <w:t>C.</w:t>
            </w:r>
            <w:r>
              <w:rPr>
                <w:rFonts w:asciiTheme="minorHAnsi" w:eastAsiaTheme="minorEastAsia" w:hAnsiTheme="minorHAnsi" w:cstheme="minorBidi"/>
                <w:noProof/>
                <w:sz w:val="24"/>
              </w:rPr>
              <w:tab/>
            </w:r>
            <w:r w:rsidRPr="00E00484">
              <w:rPr>
                <w:rStyle w:val="Hyperlink"/>
                <w:rFonts w:cs="Arial"/>
                <w:b/>
                <w:bCs/>
                <w:noProof/>
              </w:rPr>
              <w:t>Disability Protections in Housing</w:t>
            </w:r>
            <w:r>
              <w:rPr>
                <w:noProof/>
                <w:webHidden/>
              </w:rPr>
              <w:tab/>
            </w:r>
            <w:r>
              <w:rPr>
                <w:noProof/>
                <w:webHidden/>
              </w:rPr>
              <w:fldChar w:fldCharType="begin"/>
            </w:r>
            <w:r>
              <w:rPr>
                <w:noProof/>
                <w:webHidden/>
              </w:rPr>
              <w:instrText xml:space="preserve"> PAGEREF _Toc218083757 \h </w:instrText>
            </w:r>
            <w:r>
              <w:rPr>
                <w:noProof/>
                <w:webHidden/>
              </w:rPr>
            </w:r>
            <w:r>
              <w:rPr>
                <w:noProof/>
                <w:webHidden/>
              </w:rPr>
              <w:fldChar w:fldCharType="separate"/>
            </w:r>
            <w:r>
              <w:rPr>
                <w:noProof/>
                <w:webHidden/>
              </w:rPr>
              <w:t>70</w:t>
            </w:r>
            <w:r>
              <w:rPr>
                <w:noProof/>
                <w:webHidden/>
              </w:rPr>
              <w:fldChar w:fldCharType="end"/>
            </w:r>
          </w:hyperlink>
        </w:p>
        <w:p w14:paraId="495D7172" w14:textId="03B9E4C1" w:rsidR="007C1721" w:rsidRDefault="007C1721">
          <w:pPr>
            <w:pStyle w:val="TOC3"/>
            <w:rPr>
              <w:rFonts w:asciiTheme="minorHAnsi" w:eastAsiaTheme="minorEastAsia" w:hAnsiTheme="minorHAnsi" w:cstheme="minorBidi"/>
              <w:noProof/>
              <w:sz w:val="24"/>
            </w:rPr>
          </w:pPr>
          <w:hyperlink w:anchor="_Toc218083758" w:history="1">
            <w:r w:rsidRPr="00E00484">
              <w:rPr>
                <w:rStyle w:val="Hyperlink"/>
                <w:rFonts w:cs="Arial"/>
                <w:b/>
                <w:bCs/>
                <w:noProof/>
              </w:rPr>
              <w:t>i.</w:t>
            </w:r>
            <w:r>
              <w:rPr>
                <w:rFonts w:asciiTheme="minorHAnsi" w:eastAsiaTheme="minorEastAsia" w:hAnsiTheme="minorHAnsi" w:cstheme="minorBidi"/>
                <w:noProof/>
                <w:sz w:val="24"/>
              </w:rPr>
              <w:tab/>
            </w:r>
            <w:r w:rsidRPr="00E00484">
              <w:rPr>
                <w:rStyle w:val="Hyperlink"/>
                <w:rFonts w:cs="Arial"/>
                <w:b/>
                <w:bCs/>
                <w:noProof/>
              </w:rPr>
              <w:t>Postings</w:t>
            </w:r>
            <w:r>
              <w:rPr>
                <w:noProof/>
                <w:webHidden/>
              </w:rPr>
              <w:tab/>
            </w:r>
            <w:r>
              <w:rPr>
                <w:noProof/>
                <w:webHidden/>
              </w:rPr>
              <w:fldChar w:fldCharType="begin"/>
            </w:r>
            <w:r>
              <w:rPr>
                <w:noProof/>
                <w:webHidden/>
              </w:rPr>
              <w:instrText xml:space="preserve"> PAGEREF _Toc218083758 \h </w:instrText>
            </w:r>
            <w:r>
              <w:rPr>
                <w:noProof/>
                <w:webHidden/>
              </w:rPr>
            </w:r>
            <w:r>
              <w:rPr>
                <w:noProof/>
                <w:webHidden/>
              </w:rPr>
              <w:fldChar w:fldCharType="separate"/>
            </w:r>
            <w:r>
              <w:rPr>
                <w:noProof/>
                <w:webHidden/>
              </w:rPr>
              <w:t>71</w:t>
            </w:r>
            <w:r>
              <w:rPr>
                <w:noProof/>
                <w:webHidden/>
              </w:rPr>
              <w:fldChar w:fldCharType="end"/>
            </w:r>
          </w:hyperlink>
        </w:p>
        <w:p w14:paraId="20D5FAE8" w14:textId="6F380199" w:rsidR="007C1721" w:rsidRDefault="007C1721">
          <w:pPr>
            <w:pStyle w:val="TOC3"/>
            <w:rPr>
              <w:rFonts w:asciiTheme="minorHAnsi" w:eastAsiaTheme="minorEastAsia" w:hAnsiTheme="minorHAnsi" w:cstheme="minorBidi"/>
              <w:noProof/>
              <w:sz w:val="24"/>
            </w:rPr>
          </w:pPr>
          <w:hyperlink w:anchor="_Toc218083759" w:history="1">
            <w:r w:rsidRPr="00E00484">
              <w:rPr>
                <w:rStyle w:val="Hyperlink"/>
                <w:rFonts w:cs="Arial"/>
                <w:b/>
                <w:bCs/>
                <w:noProof/>
              </w:rPr>
              <w:t>ii.</w:t>
            </w:r>
            <w:r>
              <w:rPr>
                <w:rFonts w:asciiTheme="minorHAnsi" w:eastAsiaTheme="minorEastAsia" w:hAnsiTheme="minorHAnsi" w:cstheme="minorBidi"/>
                <w:noProof/>
                <w:sz w:val="24"/>
              </w:rPr>
              <w:tab/>
            </w:r>
            <w:r w:rsidRPr="00E00484">
              <w:rPr>
                <w:rStyle w:val="Hyperlink"/>
                <w:rFonts w:cs="Arial"/>
                <w:b/>
                <w:bCs/>
                <w:noProof/>
              </w:rPr>
              <w:t>Applications and Selection Criteria</w:t>
            </w:r>
            <w:r>
              <w:rPr>
                <w:noProof/>
                <w:webHidden/>
              </w:rPr>
              <w:tab/>
            </w:r>
            <w:r>
              <w:rPr>
                <w:noProof/>
                <w:webHidden/>
              </w:rPr>
              <w:fldChar w:fldCharType="begin"/>
            </w:r>
            <w:r>
              <w:rPr>
                <w:noProof/>
                <w:webHidden/>
              </w:rPr>
              <w:instrText xml:space="preserve"> PAGEREF _Toc218083759 \h </w:instrText>
            </w:r>
            <w:r>
              <w:rPr>
                <w:noProof/>
                <w:webHidden/>
              </w:rPr>
            </w:r>
            <w:r>
              <w:rPr>
                <w:noProof/>
                <w:webHidden/>
              </w:rPr>
              <w:fldChar w:fldCharType="separate"/>
            </w:r>
            <w:r>
              <w:rPr>
                <w:noProof/>
                <w:webHidden/>
              </w:rPr>
              <w:t>71</w:t>
            </w:r>
            <w:r>
              <w:rPr>
                <w:noProof/>
                <w:webHidden/>
              </w:rPr>
              <w:fldChar w:fldCharType="end"/>
            </w:r>
          </w:hyperlink>
        </w:p>
        <w:p w14:paraId="4C075D9D" w14:textId="37C56B36" w:rsidR="007C1721" w:rsidRDefault="007C1721">
          <w:pPr>
            <w:pStyle w:val="TOC3"/>
            <w:rPr>
              <w:rFonts w:asciiTheme="minorHAnsi" w:eastAsiaTheme="minorEastAsia" w:hAnsiTheme="minorHAnsi" w:cstheme="minorBidi"/>
              <w:noProof/>
              <w:sz w:val="24"/>
            </w:rPr>
          </w:pPr>
          <w:hyperlink w:anchor="_Toc218083760" w:history="1">
            <w:r w:rsidRPr="00E00484">
              <w:rPr>
                <w:rStyle w:val="Hyperlink"/>
                <w:rFonts w:cs="Arial"/>
                <w:b/>
                <w:bCs/>
                <w:noProof/>
              </w:rPr>
              <w:t>iii.</w:t>
            </w:r>
            <w:r>
              <w:rPr>
                <w:rFonts w:asciiTheme="minorHAnsi" w:eastAsiaTheme="minorEastAsia" w:hAnsiTheme="minorHAnsi" w:cstheme="minorBidi"/>
                <w:noProof/>
                <w:sz w:val="24"/>
              </w:rPr>
              <w:tab/>
            </w:r>
            <w:r w:rsidRPr="00E00484">
              <w:rPr>
                <w:rStyle w:val="Hyperlink"/>
                <w:rFonts w:cs="Arial"/>
                <w:b/>
                <w:bCs/>
                <w:noProof/>
              </w:rPr>
              <w:t>Reasonable Accommodations in Housing</w:t>
            </w:r>
            <w:r>
              <w:rPr>
                <w:noProof/>
                <w:webHidden/>
              </w:rPr>
              <w:tab/>
            </w:r>
            <w:r>
              <w:rPr>
                <w:noProof/>
                <w:webHidden/>
              </w:rPr>
              <w:fldChar w:fldCharType="begin"/>
            </w:r>
            <w:r>
              <w:rPr>
                <w:noProof/>
                <w:webHidden/>
              </w:rPr>
              <w:instrText xml:space="preserve"> PAGEREF _Toc218083760 \h </w:instrText>
            </w:r>
            <w:r>
              <w:rPr>
                <w:noProof/>
                <w:webHidden/>
              </w:rPr>
            </w:r>
            <w:r>
              <w:rPr>
                <w:noProof/>
                <w:webHidden/>
              </w:rPr>
              <w:fldChar w:fldCharType="separate"/>
            </w:r>
            <w:r>
              <w:rPr>
                <w:noProof/>
                <w:webHidden/>
              </w:rPr>
              <w:t>72</w:t>
            </w:r>
            <w:r>
              <w:rPr>
                <w:noProof/>
                <w:webHidden/>
              </w:rPr>
              <w:fldChar w:fldCharType="end"/>
            </w:r>
          </w:hyperlink>
        </w:p>
        <w:p w14:paraId="519F26E0" w14:textId="6C940945" w:rsidR="007C1721" w:rsidRDefault="007C1721">
          <w:pPr>
            <w:pStyle w:val="TOC3"/>
            <w:rPr>
              <w:rFonts w:asciiTheme="minorHAnsi" w:eastAsiaTheme="minorEastAsia" w:hAnsiTheme="minorHAnsi" w:cstheme="minorBidi"/>
              <w:noProof/>
              <w:sz w:val="24"/>
            </w:rPr>
          </w:pPr>
          <w:hyperlink w:anchor="_Toc218083761" w:history="1">
            <w:r w:rsidRPr="00E00484">
              <w:rPr>
                <w:rStyle w:val="Hyperlink"/>
                <w:rFonts w:cs="Arial"/>
                <w:b/>
                <w:bCs/>
                <w:noProof/>
              </w:rPr>
              <w:t>iv.</w:t>
            </w:r>
            <w:r>
              <w:rPr>
                <w:rFonts w:asciiTheme="minorHAnsi" w:eastAsiaTheme="minorEastAsia" w:hAnsiTheme="minorHAnsi" w:cstheme="minorBidi"/>
                <w:noProof/>
                <w:sz w:val="24"/>
              </w:rPr>
              <w:tab/>
            </w:r>
            <w:r w:rsidRPr="00E00484">
              <w:rPr>
                <w:rStyle w:val="Hyperlink"/>
                <w:rFonts w:cs="Arial"/>
                <w:b/>
                <w:bCs/>
                <w:noProof/>
              </w:rPr>
              <w:t>Defenses to a Claim of Failure to Provide Reasonable Accommodations in Housing</w:t>
            </w:r>
            <w:r>
              <w:rPr>
                <w:noProof/>
                <w:webHidden/>
              </w:rPr>
              <w:tab/>
            </w:r>
            <w:r>
              <w:rPr>
                <w:noProof/>
                <w:webHidden/>
              </w:rPr>
              <w:fldChar w:fldCharType="begin"/>
            </w:r>
            <w:r>
              <w:rPr>
                <w:noProof/>
                <w:webHidden/>
              </w:rPr>
              <w:instrText xml:space="preserve"> PAGEREF _Toc218083761 \h </w:instrText>
            </w:r>
            <w:r>
              <w:rPr>
                <w:noProof/>
                <w:webHidden/>
              </w:rPr>
            </w:r>
            <w:r>
              <w:rPr>
                <w:noProof/>
                <w:webHidden/>
              </w:rPr>
              <w:fldChar w:fldCharType="separate"/>
            </w:r>
            <w:r>
              <w:rPr>
                <w:noProof/>
                <w:webHidden/>
              </w:rPr>
              <w:t>80</w:t>
            </w:r>
            <w:r>
              <w:rPr>
                <w:noProof/>
                <w:webHidden/>
              </w:rPr>
              <w:fldChar w:fldCharType="end"/>
            </w:r>
          </w:hyperlink>
        </w:p>
        <w:p w14:paraId="61A34D38" w14:textId="26F7E74E" w:rsidR="007C1721" w:rsidRDefault="007C1721">
          <w:pPr>
            <w:pStyle w:val="TOC1"/>
            <w:tabs>
              <w:tab w:val="right" w:leader="dot" w:pos="9926"/>
            </w:tabs>
            <w:rPr>
              <w:rFonts w:asciiTheme="minorHAnsi" w:eastAsiaTheme="minorEastAsia" w:hAnsiTheme="minorHAnsi" w:cstheme="minorBidi"/>
              <w:noProof/>
              <w:sz w:val="24"/>
            </w:rPr>
          </w:pPr>
          <w:hyperlink w:anchor="_Toc218083762" w:history="1">
            <w:r w:rsidRPr="00E00484">
              <w:rPr>
                <w:rStyle w:val="Hyperlink"/>
                <w:rFonts w:cs="Arial"/>
                <w:b/>
                <w:bCs/>
                <w:noProof/>
              </w:rPr>
              <w:t xml:space="preserve">PART III: </w:t>
            </w:r>
            <w:r w:rsidRPr="00E00484">
              <w:rPr>
                <w:rStyle w:val="Hyperlink"/>
                <w:rFonts w:cs="Arial"/>
                <w:b/>
                <w:noProof/>
              </w:rPr>
              <w:t>Additional NYCHRL Disability Protections</w:t>
            </w:r>
            <w:r>
              <w:rPr>
                <w:noProof/>
                <w:webHidden/>
              </w:rPr>
              <w:tab/>
            </w:r>
            <w:r>
              <w:rPr>
                <w:noProof/>
                <w:webHidden/>
              </w:rPr>
              <w:fldChar w:fldCharType="begin"/>
            </w:r>
            <w:r>
              <w:rPr>
                <w:noProof/>
                <w:webHidden/>
              </w:rPr>
              <w:instrText xml:space="preserve"> PAGEREF _Toc218083762 \h </w:instrText>
            </w:r>
            <w:r>
              <w:rPr>
                <w:noProof/>
                <w:webHidden/>
              </w:rPr>
            </w:r>
            <w:r>
              <w:rPr>
                <w:noProof/>
                <w:webHidden/>
              </w:rPr>
              <w:fldChar w:fldCharType="separate"/>
            </w:r>
            <w:r>
              <w:rPr>
                <w:noProof/>
                <w:webHidden/>
              </w:rPr>
              <w:t>82</w:t>
            </w:r>
            <w:r>
              <w:rPr>
                <w:noProof/>
                <w:webHidden/>
              </w:rPr>
              <w:fldChar w:fldCharType="end"/>
            </w:r>
          </w:hyperlink>
        </w:p>
        <w:p w14:paraId="50D6421F" w14:textId="0E9AB1AB" w:rsidR="007C1721" w:rsidRDefault="007C1721">
          <w:pPr>
            <w:pStyle w:val="TOC2"/>
            <w:rPr>
              <w:rFonts w:asciiTheme="minorHAnsi" w:eastAsiaTheme="minorEastAsia" w:hAnsiTheme="minorHAnsi" w:cstheme="minorBidi"/>
              <w:noProof/>
              <w:sz w:val="24"/>
            </w:rPr>
          </w:pPr>
          <w:hyperlink w:anchor="_Toc218083763" w:history="1">
            <w:r w:rsidRPr="00E00484">
              <w:rPr>
                <w:rStyle w:val="Hyperlink"/>
                <w:rFonts w:cs="Arial"/>
                <w:b/>
                <w:bCs/>
                <w:noProof/>
              </w:rPr>
              <w:t>A.</w:t>
            </w:r>
            <w:r>
              <w:rPr>
                <w:rFonts w:asciiTheme="minorHAnsi" w:eastAsiaTheme="minorEastAsia" w:hAnsiTheme="minorHAnsi" w:cstheme="minorBidi"/>
                <w:noProof/>
                <w:sz w:val="24"/>
              </w:rPr>
              <w:tab/>
            </w:r>
            <w:r w:rsidRPr="00E00484">
              <w:rPr>
                <w:rStyle w:val="Hyperlink"/>
                <w:rFonts w:cs="Arial"/>
                <w:b/>
                <w:bCs/>
                <w:noProof/>
              </w:rPr>
              <w:t>Retaliation</w:t>
            </w:r>
            <w:r>
              <w:rPr>
                <w:noProof/>
                <w:webHidden/>
              </w:rPr>
              <w:tab/>
            </w:r>
            <w:r>
              <w:rPr>
                <w:noProof/>
                <w:webHidden/>
              </w:rPr>
              <w:fldChar w:fldCharType="begin"/>
            </w:r>
            <w:r>
              <w:rPr>
                <w:noProof/>
                <w:webHidden/>
              </w:rPr>
              <w:instrText xml:space="preserve"> PAGEREF _Toc218083763 \h </w:instrText>
            </w:r>
            <w:r>
              <w:rPr>
                <w:noProof/>
                <w:webHidden/>
              </w:rPr>
            </w:r>
            <w:r>
              <w:rPr>
                <w:noProof/>
                <w:webHidden/>
              </w:rPr>
              <w:fldChar w:fldCharType="separate"/>
            </w:r>
            <w:r>
              <w:rPr>
                <w:noProof/>
                <w:webHidden/>
              </w:rPr>
              <w:t>82</w:t>
            </w:r>
            <w:r>
              <w:rPr>
                <w:noProof/>
                <w:webHidden/>
              </w:rPr>
              <w:fldChar w:fldCharType="end"/>
            </w:r>
          </w:hyperlink>
        </w:p>
        <w:p w14:paraId="46B384DD" w14:textId="66891C77" w:rsidR="007C1721" w:rsidRDefault="007C1721">
          <w:pPr>
            <w:pStyle w:val="TOC3"/>
            <w:rPr>
              <w:rFonts w:asciiTheme="minorHAnsi" w:eastAsiaTheme="minorEastAsia" w:hAnsiTheme="minorHAnsi" w:cstheme="minorBidi"/>
              <w:noProof/>
              <w:sz w:val="24"/>
            </w:rPr>
          </w:pPr>
          <w:hyperlink w:anchor="_Toc218083764" w:history="1">
            <w:r w:rsidRPr="00E00484">
              <w:rPr>
                <w:rStyle w:val="Hyperlink"/>
                <w:rFonts w:cs="Arial"/>
                <w:b/>
                <w:bCs/>
                <w:noProof/>
              </w:rPr>
              <w:t>i.</w:t>
            </w:r>
            <w:r>
              <w:rPr>
                <w:rFonts w:asciiTheme="minorHAnsi" w:eastAsiaTheme="minorEastAsia" w:hAnsiTheme="minorHAnsi" w:cstheme="minorBidi"/>
                <w:noProof/>
                <w:sz w:val="24"/>
              </w:rPr>
              <w:tab/>
            </w:r>
            <w:r w:rsidRPr="00E00484">
              <w:rPr>
                <w:rStyle w:val="Hyperlink"/>
                <w:rFonts w:cs="Arial"/>
                <w:b/>
                <w:bCs/>
                <w:noProof/>
              </w:rPr>
              <w:t>Examples of Retaliation</w:t>
            </w:r>
            <w:r>
              <w:rPr>
                <w:noProof/>
                <w:webHidden/>
              </w:rPr>
              <w:tab/>
            </w:r>
            <w:r>
              <w:rPr>
                <w:noProof/>
                <w:webHidden/>
              </w:rPr>
              <w:fldChar w:fldCharType="begin"/>
            </w:r>
            <w:r>
              <w:rPr>
                <w:noProof/>
                <w:webHidden/>
              </w:rPr>
              <w:instrText xml:space="preserve"> PAGEREF _Toc218083764 \h </w:instrText>
            </w:r>
            <w:r>
              <w:rPr>
                <w:noProof/>
                <w:webHidden/>
              </w:rPr>
            </w:r>
            <w:r>
              <w:rPr>
                <w:noProof/>
                <w:webHidden/>
              </w:rPr>
              <w:fldChar w:fldCharType="separate"/>
            </w:r>
            <w:r>
              <w:rPr>
                <w:noProof/>
                <w:webHidden/>
              </w:rPr>
              <w:t>85</w:t>
            </w:r>
            <w:r>
              <w:rPr>
                <w:noProof/>
                <w:webHidden/>
              </w:rPr>
              <w:fldChar w:fldCharType="end"/>
            </w:r>
          </w:hyperlink>
        </w:p>
        <w:p w14:paraId="6FFCF7CF" w14:textId="23092D22" w:rsidR="007C1721" w:rsidRDefault="007C1721">
          <w:pPr>
            <w:pStyle w:val="TOC2"/>
            <w:rPr>
              <w:rFonts w:asciiTheme="minorHAnsi" w:eastAsiaTheme="minorEastAsia" w:hAnsiTheme="minorHAnsi" w:cstheme="minorBidi"/>
              <w:noProof/>
              <w:sz w:val="24"/>
            </w:rPr>
          </w:pPr>
          <w:hyperlink w:anchor="_Toc218083765" w:history="1">
            <w:r w:rsidRPr="00E00484">
              <w:rPr>
                <w:rStyle w:val="Hyperlink"/>
                <w:rFonts w:cs="Arial"/>
                <w:b/>
                <w:bCs/>
                <w:noProof/>
              </w:rPr>
              <w:t>B.</w:t>
            </w:r>
            <w:r>
              <w:rPr>
                <w:rFonts w:asciiTheme="minorHAnsi" w:eastAsiaTheme="minorEastAsia" w:hAnsiTheme="minorHAnsi" w:cstheme="minorBidi"/>
                <w:noProof/>
                <w:sz w:val="24"/>
              </w:rPr>
              <w:tab/>
            </w:r>
            <w:r w:rsidRPr="00E00484">
              <w:rPr>
                <w:rStyle w:val="Hyperlink"/>
                <w:rFonts w:cs="Arial"/>
                <w:b/>
                <w:bCs/>
                <w:noProof/>
              </w:rPr>
              <w:t>Associational Discrimination</w:t>
            </w:r>
            <w:r>
              <w:rPr>
                <w:noProof/>
                <w:webHidden/>
              </w:rPr>
              <w:tab/>
            </w:r>
            <w:r>
              <w:rPr>
                <w:noProof/>
                <w:webHidden/>
              </w:rPr>
              <w:fldChar w:fldCharType="begin"/>
            </w:r>
            <w:r>
              <w:rPr>
                <w:noProof/>
                <w:webHidden/>
              </w:rPr>
              <w:instrText xml:space="preserve"> PAGEREF _Toc218083765 \h </w:instrText>
            </w:r>
            <w:r>
              <w:rPr>
                <w:noProof/>
                <w:webHidden/>
              </w:rPr>
            </w:r>
            <w:r>
              <w:rPr>
                <w:noProof/>
                <w:webHidden/>
              </w:rPr>
              <w:fldChar w:fldCharType="separate"/>
            </w:r>
            <w:r>
              <w:rPr>
                <w:noProof/>
                <w:webHidden/>
              </w:rPr>
              <w:t>86</w:t>
            </w:r>
            <w:r>
              <w:rPr>
                <w:noProof/>
                <w:webHidden/>
              </w:rPr>
              <w:fldChar w:fldCharType="end"/>
            </w:r>
          </w:hyperlink>
        </w:p>
        <w:p w14:paraId="56BBC51F" w14:textId="75994C7B" w:rsidR="007C1721" w:rsidRDefault="007C1721">
          <w:pPr>
            <w:pStyle w:val="TOC3"/>
            <w:rPr>
              <w:rFonts w:asciiTheme="minorHAnsi" w:eastAsiaTheme="minorEastAsia" w:hAnsiTheme="minorHAnsi" w:cstheme="minorBidi"/>
              <w:noProof/>
              <w:sz w:val="24"/>
            </w:rPr>
          </w:pPr>
          <w:hyperlink w:anchor="_Toc218083766" w:history="1">
            <w:r w:rsidRPr="00E00484">
              <w:rPr>
                <w:rStyle w:val="Hyperlink"/>
                <w:rFonts w:cs="Arial"/>
                <w:b/>
                <w:bCs/>
                <w:noProof/>
              </w:rPr>
              <w:t>i.</w:t>
            </w:r>
            <w:r>
              <w:rPr>
                <w:rFonts w:asciiTheme="minorHAnsi" w:eastAsiaTheme="minorEastAsia" w:hAnsiTheme="minorHAnsi" w:cstheme="minorBidi"/>
                <w:noProof/>
                <w:sz w:val="24"/>
              </w:rPr>
              <w:tab/>
            </w:r>
            <w:r w:rsidRPr="00E00484">
              <w:rPr>
                <w:rStyle w:val="Hyperlink"/>
                <w:rFonts w:cs="Arial"/>
                <w:b/>
                <w:bCs/>
                <w:noProof/>
              </w:rPr>
              <w:t>Associational Disparate Treatment Claims</w:t>
            </w:r>
            <w:r>
              <w:rPr>
                <w:noProof/>
                <w:webHidden/>
              </w:rPr>
              <w:tab/>
            </w:r>
            <w:r>
              <w:rPr>
                <w:noProof/>
                <w:webHidden/>
              </w:rPr>
              <w:fldChar w:fldCharType="begin"/>
            </w:r>
            <w:r>
              <w:rPr>
                <w:noProof/>
                <w:webHidden/>
              </w:rPr>
              <w:instrText xml:space="preserve"> PAGEREF _Toc218083766 \h </w:instrText>
            </w:r>
            <w:r>
              <w:rPr>
                <w:noProof/>
                <w:webHidden/>
              </w:rPr>
            </w:r>
            <w:r>
              <w:rPr>
                <w:noProof/>
                <w:webHidden/>
              </w:rPr>
              <w:fldChar w:fldCharType="separate"/>
            </w:r>
            <w:r>
              <w:rPr>
                <w:noProof/>
                <w:webHidden/>
              </w:rPr>
              <w:t>86</w:t>
            </w:r>
            <w:r>
              <w:rPr>
                <w:noProof/>
                <w:webHidden/>
              </w:rPr>
              <w:fldChar w:fldCharType="end"/>
            </w:r>
          </w:hyperlink>
        </w:p>
        <w:p w14:paraId="7C861917" w14:textId="527B456C" w:rsidR="007C1721" w:rsidRDefault="007C1721">
          <w:pPr>
            <w:pStyle w:val="TOC3"/>
            <w:rPr>
              <w:rFonts w:asciiTheme="minorHAnsi" w:eastAsiaTheme="minorEastAsia" w:hAnsiTheme="minorHAnsi" w:cstheme="minorBidi"/>
              <w:noProof/>
              <w:sz w:val="24"/>
            </w:rPr>
          </w:pPr>
          <w:hyperlink w:anchor="_Toc218083767" w:history="1">
            <w:r w:rsidRPr="00E00484">
              <w:rPr>
                <w:rStyle w:val="Hyperlink"/>
                <w:rFonts w:cs="Arial"/>
                <w:b/>
                <w:bCs/>
                <w:noProof/>
              </w:rPr>
              <w:t>ii.</w:t>
            </w:r>
            <w:r>
              <w:rPr>
                <w:rFonts w:asciiTheme="minorHAnsi" w:eastAsiaTheme="minorEastAsia" w:hAnsiTheme="minorHAnsi" w:cstheme="minorBidi"/>
                <w:noProof/>
                <w:sz w:val="24"/>
              </w:rPr>
              <w:tab/>
            </w:r>
            <w:r w:rsidRPr="00E00484">
              <w:rPr>
                <w:rStyle w:val="Hyperlink"/>
                <w:rFonts w:cs="Arial"/>
                <w:b/>
                <w:bCs/>
                <w:noProof/>
              </w:rPr>
              <w:t>Associational Reasonable Accommodations Claims</w:t>
            </w:r>
            <w:r>
              <w:rPr>
                <w:noProof/>
                <w:webHidden/>
              </w:rPr>
              <w:tab/>
            </w:r>
            <w:r>
              <w:rPr>
                <w:noProof/>
                <w:webHidden/>
              </w:rPr>
              <w:fldChar w:fldCharType="begin"/>
            </w:r>
            <w:r>
              <w:rPr>
                <w:noProof/>
                <w:webHidden/>
              </w:rPr>
              <w:instrText xml:space="preserve"> PAGEREF _Toc218083767 \h </w:instrText>
            </w:r>
            <w:r>
              <w:rPr>
                <w:noProof/>
                <w:webHidden/>
              </w:rPr>
            </w:r>
            <w:r>
              <w:rPr>
                <w:noProof/>
                <w:webHidden/>
              </w:rPr>
              <w:fldChar w:fldCharType="separate"/>
            </w:r>
            <w:r>
              <w:rPr>
                <w:noProof/>
                <w:webHidden/>
              </w:rPr>
              <w:t>87</w:t>
            </w:r>
            <w:r>
              <w:rPr>
                <w:noProof/>
                <w:webHidden/>
              </w:rPr>
              <w:fldChar w:fldCharType="end"/>
            </w:r>
          </w:hyperlink>
        </w:p>
        <w:p w14:paraId="3F7D7799" w14:textId="02C3470E" w:rsidR="007C1721" w:rsidRDefault="007C1721">
          <w:pPr>
            <w:pStyle w:val="TOC2"/>
            <w:rPr>
              <w:rFonts w:asciiTheme="minorHAnsi" w:eastAsiaTheme="minorEastAsia" w:hAnsiTheme="minorHAnsi" w:cstheme="minorBidi"/>
              <w:noProof/>
              <w:sz w:val="24"/>
            </w:rPr>
          </w:pPr>
          <w:hyperlink w:anchor="_Toc218083768" w:history="1">
            <w:r w:rsidRPr="00E00484">
              <w:rPr>
                <w:rStyle w:val="Hyperlink"/>
                <w:rFonts w:cs="Arial"/>
                <w:b/>
                <w:bCs/>
                <w:noProof/>
              </w:rPr>
              <w:t>C.</w:t>
            </w:r>
            <w:r>
              <w:rPr>
                <w:rFonts w:asciiTheme="minorHAnsi" w:eastAsiaTheme="minorEastAsia" w:hAnsiTheme="minorHAnsi" w:cstheme="minorBidi"/>
                <w:noProof/>
                <w:sz w:val="24"/>
              </w:rPr>
              <w:tab/>
            </w:r>
            <w:r w:rsidRPr="00E00484">
              <w:rPr>
                <w:rStyle w:val="Hyperlink"/>
                <w:rFonts w:cs="Arial"/>
                <w:b/>
                <w:bCs/>
                <w:noProof/>
              </w:rPr>
              <w:t>Discriminatory Harassment</w:t>
            </w:r>
            <w:r>
              <w:rPr>
                <w:noProof/>
                <w:webHidden/>
              </w:rPr>
              <w:tab/>
            </w:r>
            <w:r>
              <w:rPr>
                <w:noProof/>
                <w:webHidden/>
              </w:rPr>
              <w:fldChar w:fldCharType="begin"/>
            </w:r>
            <w:r>
              <w:rPr>
                <w:noProof/>
                <w:webHidden/>
              </w:rPr>
              <w:instrText xml:space="preserve"> PAGEREF _Toc218083768 \h </w:instrText>
            </w:r>
            <w:r>
              <w:rPr>
                <w:noProof/>
                <w:webHidden/>
              </w:rPr>
            </w:r>
            <w:r>
              <w:rPr>
                <w:noProof/>
                <w:webHidden/>
              </w:rPr>
              <w:fldChar w:fldCharType="separate"/>
            </w:r>
            <w:r>
              <w:rPr>
                <w:noProof/>
                <w:webHidden/>
              </w:rPr>
              <w:t>89</w:t>
            </w:r>
            <w:r>
              <w:rPr>
                <w:noProof/>
                <w:webHidden/>
              </w:rPr>
              <w:fldChar w:fldCharType="end"/>
            </w:r>
          </w:hyperlink>
        </w:p>
        <w:p w14:paraId="4B620651" w14:textId="6FBF358C" w:rsidR="007C1721" w:rsidRDefault="007C1721">
          <w:pPr>
            <w:pStyle w:val="TOC3"/>
            <w:rPr>
              <w:rFonts w:asciiTheme="minorHAnsi" w:eastAsiaTheme="minorEastAsia" w:hAnsiTheme="minorHAnsi" w:cstheme="minorBidi"/>
              <w:noProof/>
              <w:sz w:val="24"/>
            </w:rPr>
          </w:pPr>
          <w:hyperlink w:anchor="_Toc218083769" w:history="1">
            <w:r w:rsidRPr="00E00484">
              <w:rPr>
                <w:rStyle w:val="Hyperlink"/>
                <w:rFonts w:cs="Arial"/>
                <w:b/>
                <w:bCs/>
                <w:noProof/>
              </w:rPr>
              <w:t>i.</w:t>
            </w:r>
            <w:r>
              <w:rPr>
                <w:rFonts w:asciiTheme="minorHAnsi" w:eastAsiaTheme="minorEastAsia" w:hAnsiTheme="minorHAnsi" w:cstheme="minorBidi"/>
                <w:noProof/>
                <w:sz w:val="24"/>
              </w:rPr>
              <w:tab/>
            </w:r>
            <w:r w:rsidRPr="00E00484">
              <w:rPr>
                <w:rStyle w:val="Hyperlink"/>
                <w:rFonts w:cs="Arial"/>
                <w:b/>
                <w:bCs/>
                <w:noProof/>
              </w:rPr>
              <w:t>Examples of Discriminatory Harassment</w:t>
            </w:r>
            <w:r>
              <w:rPr>
                <w:noProof/>
                <w:webHidden/>
              </w:rPr>
              <w:tab/>
            </w:r>
            <w:r>
              <w:rPr>
                <w:noProof/>
                <w:webHidden/>
              </w:rPr>
              <w:fldChar w:fldCharType="begin"/>
            </w:r>
            <w:r>
              <w:rPr>
                <w:noProof/>
                <w:webHidden/>
              </w:rPr>
              <w:instrText xml:space="preserve"> PAGEREF _Toc218083769 \h </w:instrText>
            </w:r>
            <w:r>
              <w:rPr>
                <w:noProof/>
                <w:webHidden/>
              </w:rPr>
            </w:r>
            <w:r>
              <w:rPr>
                <w:noProof/>
                <w:webHidden/>
              </w:rPr>
              <w:fldChar w:fldCharType="separate"/>
            </w:r>
            <w:r>
              <w:rPr>
                <w:noProof/>
                <w:webHidden/>
              </w:rPr>
              <w:t>90</w:t>
            </w:r>
            <w:r>
              <w:rPr>
                <w:noProof/>
                <w:webHidden/>
              </w:rPr>
              <w:fldChar w:fldCharType="end"/>
            </w:r>
          </w:hyperlink>
        </w:p>
        <w:p w14:paraId="0A99342F" w14:textId="7202598B" w:rsidR="007C1721" w:rsidRDefault="007C1721">
          <w:pPr>
            <w:pStyle w:val="TOC1"/>
            <w:tabs>
              <w:tab w:val="right" w:leader="dot" w:pos="9926"/>
            </w:tabs>
            <w:rPr>
              <w:rFonts w:asciiTheme="minorHAnsi" w:eastAsiaTheme="minorEastAsia" w:hAnsiTheme="minorHAnsi" w:cstheme="minorBidi"/>
              <w:noProof/>
              <w:sz w:val="24"/>
            </w:rPr>
          </w:pPr>
          <w:hyperlink w:anchor="_Toc218083770" w:history="1">
            <w:r w:rsidRPr="00E00484">
              <w:rPr>
                <w:rStyle w:val="Hyperlink"/>
                <w:rFonts w:cs="Arial"/>
                <w:b/>
                <w:noProof/>
              </w:rPr>
              <w:t xml:space="preserve">PART </w:t>
            </w:r>
            <w:r w:rsidRPr="00E00484">
              <w:rPr>
                <w:rStyle w:val="Hyperlink"/>
                <w:rFonts w:cs="Arial"/>
                <w:b/>
                <w:bCs/>
                <w:noProof/>
              </w:rPr>
              <w:t>I</w:t>
            </w:r>
            <w:r w:rsidRPr="00E00484">
              <w:rPr>
                <w:rStyle w:val="Hyperlink"/>
                <w:rFonts w:cs="Arial"/>
                <w:b/>
                <w:noProof/>
              </w:rPr>
              <w:t>V: Enforcement of the City Human Rights Law and Contacting the Commission on Human Rights</w:t>
            </w:r>
            <w:r>
              <w:rPr>
                <w:noProof/>
                <w:webHidden/>
              </w:rPr>
              <w:tab/>
            </w:r>
            <w:r>
              <w:rPr>
                <w:noProof/>
                <w:webHidden/>
              </w:rPr>
              <w:fldChar w:fldCharType="begin"/>
            </w:r>
            <w:r>
              <w:rPr>
                <w:noProof/>
                <w:webHidden/>
              </w:rPr>
              <w:instrText xml:space="preserve"> PAGEREF _Toc218083770 \h </w:instrText>
            </w:r>
            <w:r>
              <w:rPr>
                <w:noProof/>
                <w:webHidden/>
              </w:rPr>
            </w:r>
            <w:r>
              <w:rPr>
                <w:noProof/>
                <w:webHidden/>
              </w:rPr>
              <w:fldChar w:fldCharType="separate"/>
            </w:r>
            <w:r>
              <w:rPr>
                <w:noProof/>
                <w:webHidden/>
              </w:rPr>
              <w:t>90</w:t>
            </w:r>
            <w:r>
              <w:rPr>
                <w:noProof/>
                <w:webHidden/>
              </w:rPr>
              <w:fldChar w:fldCharType="end"/>
            </w:r>
          </w:hyperlink>
        </w:p>
        <w:p w14:paraId="02DFCE60" w14:textId="3273B1FD" w:rsidR="009E668B" w:rsidRPr="00413148" w:rsidRDefault="00776A8A" w:rsidP="00EC6857">
          <w:r w:rsidRPr="00413148">
            <w:rPr>
              <w:rFonts w:cs="Arial"/>
              <w:b/>
              <w:bCs/>
            </w:rPr>
            <w:fldChar w:fldCharType="end"/>
          </w:r>
        </w:p>
      </w:sdtContent>
    </w:sdt>
    <w:p w14:paraId="5EFCECB9" w14:textId="77777777" w:rsidR="001F538A" w:rsidRPr="00413148" w:rsidRDefault="001F538A">
      <w:pPr>
        <w:spacing w:after="160" w:line="259" w:lineRule="auto"/>
        <w:rPr>
          <w:rFonts w:asciiTheme="majorHAnsi" w:eastAsiaTheme="majorEastAsia" w:hAnsiTheme="majorHAnsi" w:cstheme="majorBidi"/>
          <w:spacing w:val="-10"/>
          <w:kern w:val="28"/>
          <w:sz w:val="56"/>
          <w:szCs w:val="56"/>
        </w:rPr>
      </w:pPr>
      <w:r w:rsidRPr="00413148">
        <w:br w:type="page"/>
      </w:r>
    </w:p>
    <w:p w14:paraId="656EB9FE" w14:textId="77777777" w:rsidR="00332FFE" w:rsidRPr="00413148" w:rsidRDefault="00332FFE" w:rsidP="00E1149A">
      <w:pPr>
        <w:pStyle w:val="Title"/>
        <w:spacing w:after="0"/>
        <w:rPr>
          <w:rFonts w:ascii="Arial" w:hAnsi="Arial" w:cs="Arial"/>
          <w:b/>
          <w:bCs/>
          <w:color w:val="4B0082"/>
          <w:sz w:val="48"/>
          <w:szCs w:val="48"/>
        </w:rPr>
      </w:pPr>
      <w:r w:rsidRPr="00413148">
        <w:rPr>
          <w:rFonts w:ascii="Arial" w:hAnsi="Arial" w:cs="Arial"/>
          <w:b/>
          <w:bCs/>
          <w:color w:val="4B0082"/>
          <w:sz w:val="48"/>
          <w:szCs w:val="48"/>
        </w:rPr>
        <w:lastRenderedPageBreak/>
        <w:t>NYC Commission on Human Rights Legal Enforcement Guidance on Discrimination on the Basis of Disability</w:t>
      </w:r>
    </w:p>
    <w:p w14:paraId="7DD49F69" w14:textId="77777777" w:rsidR="00E1149A" w:rsidRPr="00413148" w:rsidRDefault="00E1149A" w:rsidP="00E1149A"/>
    <w:p w14:paraId="63E232AB" w14:textId="77777777" w:rsidR="00332FFE" w:rsidRPr="00413148" w:rsidRDefault="00F5297A" w:rsidP="006753F8">
      <w:pPr>
        <w:pStyle w:val="Heading1"/>
        <w:rPr>
          <w:rFonts w:ascii="Arial" w:hAnsi="Arial" w:cs="Arial"/>
          <w:b/>
          <w:bCs/>
          <w:color w:val="4B0082"/>
          <w:sz w:val="36"/>
          <w:szCs w:val="36"/>
        </w:rPr>
      </w:pPr>
      <w:bookmarkStart w:id="0" w:name="_Toc218083730"/>
      <w:r w:rsidRPr="00413148">
        <w:rPr>
          <w:rFonts w:ascii="Arial" w:hAnsi="Arial" w:cs="Arial"/>
          <w:b/>
          <w:bCs/>
          <w:color w:val="4B0082"/>
          <w:sz w:val="36"/>
          <w:szCs w:val="36"/>
        </w:rPr>
        <w:t>Introduction</w:t>
      </w:r>
      <w:bookmarkEnd w:id="0"/>
    </w:p>
    <w:p w14:paraId="77BEAB73" w14:textId="77777777" w:rsidR="00332FFE" w:rsidRPr="00413148" w:rsidRDefault="00332FFE" w:rsidP="006753F8"/>
    <w:p w14:paraId="68C4591B" w14:textId="66FA86D7" w:rsidR="00332FFE" w:rsidRPr="00413148" w:rsidRDefault="00332FFE" w:rsidP="006753F8">
      <w:r w:rsidRPr="00413148">
        <w:t>In New York City, approximately one million residents live with a disability.</w:t>
      </w:r>
      <w:r w:rsidRPr="00413148">
        <w:rPr>
          <w:rStyle w:val="FootnoteReference"/>
        </w:rPr>
        <w:footnoteReference w:id="2"/>
      </w:r>
      <w:r w:rsidRPr="00413148">
        <w:t xml:space="preserve"> Many of us will have at least one disability during our lifetimes</w:t>
      </w:r>
      <w:r w:rsidR="002029AC" w:rsidRPr="00413148">
        <w:t>,</w:t>
      </w:r>
      <w:r w:rsidRPr="00413148">
        <w:t xml:space="preserve"> and count people living with disabilities among our neighbors, colleagues, family members, and friends.</w:t>
      </w:r>
    </w:p>
    <w:p w14:paraId="4F9B443D" w14:textId="77777777" w:rsidR="00332FFE" w:rsidRPr="00413148" w:rsidRDefault="00332FFE" w:rsidP="006753F8"/>
    <w:p w14:paraId="1295B36D" w14:textId="77777777" w:rsidR="00332FFE" w:rsidRPr="00413148" w:rsidRDefault="00332FFE" w:rsidP="006753F8">
      <w:r w:rsidRPr="00413148">
        <w:t>Prioritizing accessible and inclusive spaces across New York City enables people with disabilities to participate more fully in our city, ensuring all individuals can engage with their communities, access services, find and maintain employment, and secure housing that best meets their needs. Our city is at its best when it draws on the abilities of</w:t>
      </w:r>
      <w:r w:rsidR="12BC4775" w:rsidRPr="00413148">
        <w:t xml:space="preserve"> everyone</w:t>
      </w:r>
      <w:r w:rsidR="008C0C5C" w:rsidRPr="00413148">
        <w:t xml:space="preserve"> </w:t>
      </w:r>
      <w:r w:rsidRPr="00413148">
        <w:t>and is accessible to all</w:t>
      </w:r>
      <w:r w:rsidR="7DDC2767" w:rsidRPr="00413148">
        <w:t>.</w:t>
      </w:r>
      <w:r w:rsidRPr="00413148">
        <w:t xml:space="preserve"> Creating and maintaining accessible environments through measures like providing reasonable accommodations benefits all New Yorkers, including residents, visitors, business owners</w:t>
      </w:r>
      <w:r w:rsidR="00967B8F" w:rsidRPr="00413148">
        <w:t>,</w:t>
      </w:r>
      <w:r w:rsidRPr="00413148">
        <w:t xml:space="preserve"> and employees. Investing in equitable access yields long-term economic and social gains. </w:t>
      </w:r>
    </w:p>
    <w:p w14:paraId="14111938" w14:textId="77777777" w:rsidR="00870942" w:rsidRPr="00413148" w:rsidRDefault="00870942" w:rsidP="006753F8"/>
    <w:p w14:paraId="6F012ACB" w14:textId="00430484" w:rsidR="00332FFE" w:rsidRPr="00413148" w:rsidRDefault="00332FFE" w:rsidP="006753F8">
      <w:r w:rsidRPr="00413148">
        <w:t>New York City is dedicated to advancing accessibility and ensuring all New Yorkers are able to live, work, and thrive</w:t>
      </w:r>
      <w:r w:rsidR="00B51227" w:rsidRPr="00413148">
        <w:t xml:space="preserve"> here</w:t>
      </w:r>
      <w:r w:rsidRPr="00413148">
        <w:t xml:space="preserve">. The New York City Commission on Human Rights (“Commission”) is committed to furthering these goals. The Commission works to ensure that New </w:t>
      </w:r>
      <w:r w:rsidRPr="00413148">
        <w:lastRenderedPageBreak/>
        <w:t xml:space="preserve">Yorkers with disabilities can live their lives free from discrimination by enforcing the New York City Human Rights Law (“NYCHRL”), </w:t>
      </w:r>
      <w:r w:rsidR="00BC7D59" w:rsidRPr="00413148">
        <w:t xml:space="preserve">one of the broadest and most protective anti-discrimination laws in the nation, </w:t>
      </w:r>
      <w:r w:rsidRPr="00413148">
        <w:t xml:space="preserve">which prohibits discrimination in housing, employment, and public accommodations.  </w:t>
      </w:r>
    </w:p>
    <w:p w14:paraId="1AD3A975" w14:textId="77777777" w:rsidR="00332FFE" w:rsidRPr="00413148" w:rsidRDefault="00332FFE" w:rsidP="006753F8">
      <w:pPr>
        <w:pStyle w:val="FootnoteText"/>
        <w:spacing w:line="240" w:lineRule="auto"/>
        <w:ind w:left="0"/>
      </w:pPr>
    </w:p>
    <w:p w14:paraId="45189CC9" w14:textId="77777777" w:rsidR="00332FFE" w:rsidRPr="00413148" w:rsidRDefault="00332FFE" w:rsidP="006753F8">
      <w:pPr>
        <w:pStyle w:val="FootnoteText"/>
        <w:spacing w:line="240" w:lineRule="auto"/>
      </w:pPr>
      <w:r w:rsidRPr="00413148">
        <w:t>The NYCHRL prohibits discrimination on the basis of more than twenty-five protected classes</w:t>
      </w:r>
      <w:r w:rsidR="00835F35" w:rsidRPr="00413148">
        <w:t>,</w:t>
      </w:r>
      <w:r w:rsidRPr="00413148">
        <w:t xml:space="preserve"> including </w:t>
      </w:r>
      <w:r w:rsidR="00406719" w:rsidRPr="00413148">
        <w:t xml:space="preserve">discrimination based on actual or perceived </w:t>
      </w:r>
      <w:r w:rsidR="003B7783" w:rsidRPr="00413148">
        <w:t>disability</w:t>
      </w:r>
      <w:r w:rsidRPr="00413148">
        <w:t>.</w:t>
      </w:r>
      <w:r w:rsidRPr="00413148">
        <w:rPr>
          <w:rStyle w:val="FootnoteReference"/>
        </w:rPr>
        <w:footnoteReference w:id="3"/>
      </w:r>
      <w:r w:rsidRPr="00413148">
        <w:t xml:space="preserve"> The NYCHRL defines which </w:t>
      </w:r>
      <w:r w:rsidR="004726C5" w:rsidRPr="00413148">
        <w:t xml:space="preserve">employers, </w:t>
      </w:r>
      <w:r w:rsidRPr="00413148">
        <w:t xml:space="preserve">places and providers of public accommodation, </w:t>
      </w:r>
      <w:r w:rsidR="004726C5" w:rsidRPr="00413148">
        <w:t xml:space="preserve">and </w:t>
      </w:r>
      <w:r w:rsidRPr="00413148">
        <w:t>housing providers have obligations under the Law.</w:t>
      </w:r>
      <w:r w:rsidRPr="00413148">
        <w:rPr>
          <w:rStyle w:val="FootnoteReference"/>
        </w:rPr>
        <w:footnoteReference w:id="4"/>
      </w:r>
    </w:p>
    <w:p w14:paraId="5C439619" w14:textId="77777777" w:rsidR="00332FFE" w:rsidRPr="00413148" w:rsidRDefault="00332FFE" w:rsidP="006753F8">
      <w:pPr>
        <w:rPr>
          <w:rFonts w:cs="Arial"/>
          <w:szCs w:val="32"/>
        </w:rPr>
      </w:pPr>
    </w:p>
    <w:p w14:paraId="27E21713" w14:textId="77777777" w:rsidR="00332FFE" w:rsidRPr="00413148" w:rsidRDefault="00332FFE" w:rsidP="006753F8">
      <w:r w:rsidRPr="00413148">
        <w:t>Pursuant to Local Law No. 85 (2005) (“Local Civil Rights Restoration Act of 2005”</w:t>
      </w:r>
      <w:r w:rsidR="007A636A" w:rsidRPr="00413148">
        <w:t xml:space="preserve"> or “Restoration Act”</w:t>
      </w:r>
      <w:r w:rsidRPr="00413148">
        <w:t>), the NYCHRL must be construed “independently from similar or identical provisions of New York State or federal statutes,” such that “similarly worded provisions of federal and state civil rights laws [are] a floor below which the City’s Human Rights law cannot fall, rather than a ceiling above which the local law cannot rise.”</w:t>
      </w:r>
      <w:r w:rsidRPr="00413148">
        <w:rPr>
          <w:rStyle w:val="FootnoteReference"/>
        </w:rPr>
        <w:footnoteReference w:id="5"/>
      </w:r>
      <w:r w:rsidRPr="00413148">
        <w:t xml:space="preserve"> Additionally, exemptions to the NYCHRL must be construed “narrowly in order to maximize deterrence of discriminatory </w:t>
      </w:r>
      <w:r w:rsidRPr="00413148">
        <w:lastRenderedPageBreak/>
        <w:t>conduct.”</w:t>
      </w:r>
      <w:r w:rsidRPr="00413148">
        <w:rPr>
          <w:rStyle w:val="FootnoteReference"/>
        </w:rPr>
        <w:footnoteReference w:id="6"/>
      </w:r>
      <w:r w:rsidRPr="00413148">
        <w:rPr>
          <w:rStyle w:val="FootnoteReference"/>
        </w:rPr>
        <w:t xml:space="preserve"> </w:t>
      </w:r>
      <w:r w:rsidRPr="00413148">
        <w:t>The NYCHRL also prohibits discriminatory harassment</w:t>
      </w:r>
      <w:r w:rsidRPr="00413148">
        <w:rPr>
          <w:rStyle w:val="FootnoteReference"/>
        </w:rPr>
        <w:footnoteReference w:id="7"/>
      </w:r>
      <w:r w:rsidRPr="00413148">
        <w:t xml:space="preserve"> and bias-based profiling by law enforcement.</w:t>
      </w:r>
      <w:r w:rsidRPr="00413148">
        <w:rPr>
          <w:rStyle w:val="FootnoteReference"/>
        </w:rPr>
        <w:footnoteReference w:id="8"/>
      </w:r>
    </w:p>
    <w:p w14:paraId="279BED26" w14:textId="77777777" w:rsidR="00332FFE" w:rsidRPr="00413148" w:rsidRDefault="00332FFE" w:rsidP="006753F8"/>
    <w:p w14:paraId="23E59BF4" w14:textId="77777777" w:rsidR="005B4AF0" w:rsidRPr="00C82998" w:rsidRDefault="005B4AF0" w:rsidP="006753F8">
      <w:pPr>
        <w:pStyle w:val="Heading2"/>
        <w:numPr>
          <w:ilvl w:val="0"/>
          <w:numId w:val="60"/>
        </w:numPr>
        <w:rPr>
          <w:rFonts w:cs="Arial"/>
          <w:b/>
          <w:bCs/>
          <w:color w:val="4B0082"/>
          <w:sz w:val="36"/>
          <w:szCs w:val="36"/>
        </w:rPr>
      </w:pPr>
      <w:bookmarkStart w:id="2" w:name="_Toc218083731"/>
      <w:r w:rsidRPr="00C82998">
        <w:rPr>
          <w:rFonts w:cs="Arial"/>
          <w:b/>
          <w:bCs/>
          <w:color w:val="4B0082"/>
          <w:sz w:val="36"/>
          <w:szCs w:val="36"/>
        </w:rPr>
        <w:t>Definition of Disability in the City Human Rights Law</w:t>
      </w:r>
      <w:bookmarkEnd w:id="2"/>
    </w:p>
    <w:p w14:paraId="49E8846D" w14:textId="77777777" w:rsidR="00EA4ED8" w:rsidRPr="00413148" w:rsidRDefault="00EA4ED8" w:rsidP="006753F8">
      <w:bookmarkStart w:id="3" w:name="_Hlk496251962"/>
    </w:p>
    <w:p w14:paraId="27E3A81C" w14:textId="55FC44CE" w:rsidR="00332FFE" w:rsidRPr="00413148" w:rsidRDefault="00332FFE" w:rsidP="006753F8">
      <w:r w:rsidRPr="00413148">
        <w:t>The provisions of the NYCHRL that prohibit discrimination on the basis of disability</w:t>
      </w:r>
      <w:r w:rsidR="00C25DDB" w:rsidRPr="00413148">
        <w:t>, which are the focus of this guidance document,</w:t>
      </w:r>
      <w:r w:rsidR="00C25DDB" w:rsidRPr="00413148">
        <w:rPr>
          <w:rStyle w:val="FootnoteReference"/>
        </w:rPr>
        <w:footnoteReference w:id="9"/>
      </w:r>
      <w:r w:rsidRPr="00413148">
        <w:t xml:space="preserve"> are broader than the</w:t>
      </w:r>
      <w:r w:rsidR="00E3778A" w:rsidRPr="00413148">
        <w:t xml:space="preserve"> federal</w:t>
      </w:r>
      <w:r w:rsidR="0083041D" w:rsidRPr="00413148">
        <w:t xml:space="preserve"> </w:t>
      </w:r>
      <w:r w:rsidRPr="00413148">
        <w:t>Americans with Disabilities Act (“ADA”)</w:t>
      </w:r>
      <w:r w:rsidR="7F9CD60B" w:rsidRPr="00413148">
        <w:t xml:space="preserve"> and</w:t>
      </w:r>
      <w:r w:rsidRPr="00413148">
        <w:t xml:space="preserve"> Fair Housing Act (“FHA”)</w:t>
      </w:r>
      <w:r w:rsidR="00D84AFD" w:rsidRPr="00413148">
        <w:t>,</w:t>
      </w:r>
      <w:r w:rsidR="001B70C6" w:rsidRPr="00413148">
        <w:rPr>
          <w:rStyle w:val="FootnoteReference"/>
        </w:rPr>
        <w:footnoteReference w:id="10"/>
      </w:r>
      <w:r w:rsidR="00D84AFD" w:rsidRPr="00413148">
        <w:t xml:space="preserve"> and </w:t>
      </w:r>
      <w:r w:rsidR="439D4785" w:rsidRPr="00413148">
        <w:t xml:space="preserve">the provisions </w:t>
      </w:r>
      <w:r w:rsidR="001B70C6" w:rsidRPr="00413148">
        <w:t xml:space="preserve">are </w:t>
      </w:r>
      <w:r w:rsidR="0094D04D" w:rsidRPr="00413148">
        <w:t xml:space="preserve">generally </w:t>
      </w:r>
      <w:r w:rsidR="001B70C6" w:rsidRPr="00413148">
        <w:t xml:space="preserve">as broad or broader than </w:t>
      </w:r>
      <w:r w:rsidR="0083041D" w:rsidRPr="00413148">
        <w:t>the New York State Human Rights Law</w:t>
      </w:r>
      <w:r w:rsidR="00352A98" w:rsidRPr="00413148">
        <w:t xml:space="preserve"> (“NYSHRL”)</w:t>
      </w:r>
      <w:r w:rsidR="001B70C6" w:rsidRPr="00413148">
        <w:t xml:space="preserve"> as well</w:t>
      </w:r>
      <w:r w:rsidRPr="00413148">
        <w:t>.</w:t>
      </w:r>
      <w:r w:rsidR="0083041D" w:rsidRPr="00413148">
        <w:rPr>
          <w:rStyle w:val="FootnoteReference"/>
        </w:rPr>
        <w:footnoteReference w:id="11"/>
      </w:r>
      <w:r w:rsidRPr="00413148">
        <w:t xml:space="preserve"> </w:t>
      </w:r>
    </w:p>
    <w:p w14:paraId="63B5034D" w14:textId="77777777" w:rsidR="00332FFE" w:rsidRPr="00413148" w:rsidRDefault="00332FFE" w:rsidP="006753F8">
      <w:pPr>
        <w:rPr>
          <w:b/>
          <w:bCs/>
        </w:rPr>
      </w:pPr>
    </w:p>
    <w:p w14:paraId="324C859A" w14:textId="77777777" w:rsidR="00332FFE" w:rsidRPr="00413148" w:rsidRDefault="00332FFE" w:rsidP="006753F8">
      <w:r w:rsidRPr="00413148">
        <w:lastRenderedPageBreak/>
        <w:t xml:space="preserve">The NYCHRL </w:t>
      </w:r>
      <w:bookmarkEnd w:id="3"/>
      <w:r w:rsidRPr="00413148">
        <w:t>defines disability as any “physical, medical, mental, or psychological impairment,” or a history of such impairment,</w:t>
      </w:r>
      <w:r w:rsidRPr="00413148">
        <w:rPr>
          <w:rStyle w:val="FootnoteReference"/>
        </w:rPr>
        <w:footnoteReference w:id="12"/>
      </w:r>
      <w:r w:rsidRPr="00413148">
        <w:t xml:space="preserve"> and includes a full range of sensory, mental, physical, mobility, developmental, learning, and psychological disabilities—whether</w:t>
      </w:r>
      <w:r w:rsidR="006E3553" w:rsidRPr="00413148">
        <w:t xml:space="preserve"> or not</w:t>
      </w:r>
      <w:r w:rsidRPr="00413148">
        <w:t xml:space="preserve"> they are visible </w:t>
      </w:r>
      <w:r w:rsidR="006E3553" w:rsidRPr="00413148">
        <w:t>or</w:t>
      </w:r>
      <w:r w:rsidRPr="00413148">
        <w:t xml:space="preserve"> apparent.</w:t>
      </w:r>
    </w:p>
    <w:p w14:paraId="3CAE3C9D" w14:textId="77777777" w:rsidR="00332FFE" w:rsidRPr="00413148" w:rsidRDefault="00332FFE" w:rsidP="006753F8"/>
    <w:p w14:paraId="03581A72" w14:textId="2226D376" w:rsidR="00332FFE" w:rsidRPr="00413148" w:rsidRDefault="00332FFE" w:rsidP="006753F8">
      <w:pPr>
        <w:pStyle w:val="FootnoteText"/>
      </w:pPr>
      <w:r w:rsidRPr="00413148">
        <w:t xml:space="preserve">This definition encompasses the impairment of any bodily system, such as the neurological system; the musculoskeletal system; the respiratory </w:t>
      </w:r>
      <w:r w:rsidR="00317C9D" w:rsidRPr="00413148">
        <w:t>system</w:t>
      </w:r>
      <w:r w:rsidRPr="00413148">
        <w:t xml:space="preserve">; the cardiovascular system; the reproductive system; the digestive and </w:t>
      </w:r>
      <w:proofErr w:type="spellStart"/>
      <w:r w:rsidRPr="00413148">
        <w:t>genito</w:t>
      </w:r>
      <w:proofErr w:type="spellEnd"/>
      <w:r w:rsidRPr="00413148">
        <w:t>-urinary systems; the immunological systems; and the endocrine system.</w:t>
      </w:r>
      <w:r w:rsidRPr="00413148">
        <w:rPr>
          <w:rStyle w:val="FootnoteReference"/>
        </w:rPr>
        <w:footnoteReference w:id="13"/>
      </w:r>
    </w:p>
    <w:p w14:paraId="65FB3EDC" w14:textId="77777777" w:rsidR="00332FFE" w:rsidRPr="00413148" w:rsidRDefault="00332FFE" w:rsidP="006753F8">
      <w:pPr>
        <w:pStyle w:val="FootnoteText"/>
      </w:pPr>
    </w:p>
    <w:p w14:paraId="72A767A5" w14:textId="5D3326BC" w:rsidR="00332FFE" w:rsidRPr="00413148" w:rsidRDefault="00332FFE" w:rsidP="006753F8">
      <w:r w:rsidRPr="00413148">
        <w:t xml:space="preserve">Both temporary </w:t>
      </w:r>
      <w:r w:rsidR="00F340EA" w:rsidRPr="00413148">
        <w:t>and</w:t>
      </w:r>
      <w:r w:rsidRPr="00413148">
        <w:t xml:space="preserve"> short-term injuries, as well as chronic conditions, may qualify as disabilities</w:t>
      </w:r>
      <w:r w:rsidR="008F50FD" w:rsidRPr="00413148">
        <w:t xml:space="preserve">. </w:t>
      </w:r>
      <w:r w:rsidR="00A0276C" w:rsidRPr="00413148">
        <w:t>These conditions can meet the definition of disability under the NYCHRL</w:t>
      </w:r>
      <w:r w:rsidRPr="00413148">
        <w:t xml:space="preserve"> even if the impairments, when treated, permit the aggrieved individual to perform physical activities without limitation, and/or the conditions do not substantially limit the individual’s major life activitie</w:t>
      </w:r>
      <w:r w:rsidR="00C87A12" w:rsidRPr="00413148">
        <w:t>s</w:t>
      </w:r>
      <w:r w:rsidR="065064BD" w:rsidRPr="00413148">
        <w:t>, which is distinct from</w:t>
      </w:r>
      <w:r w:rsidR="00A0276C" w:rsidRPr="00413148">
        <w:t xml:space="preserve"> federal law.</w:t>
      </w:r>
      <w:r w:rsidRPr="00413148">
        <w:rPr>
          <w:rStyle w:val="FootnoteReference"/>
        </w:rPr>
        <w:footnoteReference w:id="14"/>
      </w:r>
      <w:r w:rsidR="00CC69B0" w:rsidRPr="00413148">
        <w:t xml:space="preserve"> </w:t>
      </w:r>
      <w:r w:rsidRPr="00413148">
        <w:lastRenderedPageBreak/>
        <w:t xml:space="preserve">Disabilities can manifest in ways that are obvious, and </w:t>
      </w:r>
      <w:r w:rsidR="002672D4" w:rsidRPr="00413148">
        <w:t xml:space="preserve">in </w:t>
      </w:r>
      <w:r w:rsidRPr="00413148">
        <w:t xml:space="preserve">ways that are subtle or less apparent to others. </w:t>
      </w:r>
      <w:r w:rsidR="003A47DD" w:rsidRPr="00413148">
        <w:t>Hav</w:t>
      </w:r>
      <w:r w:rsidRPr="00413148">
        <w:t>ing low vision, hearing impair</w:t>
      </w:r>
      <w:r w:rsidR="003A47DD" w:rsidRPr="00413148">
        <w:t>ment</w:t>
      </w:r>
      <w:r w:rsidRPr="00413148">
        <w:t>,</w:t>
      </w:r>
      <w:r w:rsidR="00807A0C" w:rsidRPr="00413148">
        <w:t xml:space="preserve"> </w:t>
      </w:r>
      <w:r w:rsidR="5F04275B" w:rsidRPr="00413148">
        <w:t xml:space="preserve">and/or </w:t>
      </w:r>
      <w:r w:rsidR="00807A0C" w:rsidRPr="00413148">
        <w:t>a</w:t>
      </w:r>
      <w:r w:rsidR="003A47DD" w:rsidRPr="00413148">
        <w:t xml:space="preserve"> mobility</w:t>
      </w:r>
      <w:r w:rsidR="00807A0C" w:rsidRPr="00413148">
        <w:t xml:space="preserve"> limitation</w:t>
      </w:r>
      <w:r w:rsidR="4774FE4A" w:rsidRPr="00413148">
        <w:t xml:space="preserve"> </w:t>
      </w:r>
      <w:r w:rsidRPr="00413148">
        <w:t xml:space="preserve">constitute disabilities that </w:t>
      </w:r>
      <w:r w:rsidR="6E92B8A1" w:rsidRPr="00413148">
        <w:t>may</w:t>
      </w:r>
      <w:r w:rsidRPr="00413148">
        <w:t xml:space="preserve"> be</w:t>
      </w:r>
      <w:r w:rsidR="00B8446D" w:rsidRPr="00413148">
        <w:t xml:space="preserve"> apparent to </w:t>
      </w:r>
      <w:r w:rsidR="00626609" w:rsidRPr="00413148">
        <w:t>others;</w:t>
      </w:r>
      <w:r w:rsidR="00181067" w:rsidRPr="00413148">
        <w:t xml:space="preserve"> however</w:t>
      </w:r>
      <w:r w:rsidR="00626609" w:rsidRPr="00413148">
        <w:t>,</w:t>
      </w:r>
      <w:r w:rsidR="00181067" w:rsidRPr="00413148">
        <w:t xml:space="preserve"> </w:t>
      </w:r>
      <w:r w:rsidR="008F0C4C" w:rsidRPr="00413148">
        <w:t>they</w:t>
      </w:r>
      <w:r w:rsidR="00DD4C2D" w:rsidRPr="00413148">
        <w:t xml:space="preserve"> also present in ways that are</w:t>
      </w:r>
      <w:r w:rsidR="00CA1BAE" w:rsidRPr="00413148">
        <w:t xml:space="preserve"> less obvious</w:t>
      </w:r>
      <w:r w:rsidRPr="00413148">
        <w:t xml:space="preserve">. Disabilities can also manifest as chronic conditions that may be asymptomatic for periods of time before noticeable symptoms occur or reoccur. </w:t>
      </w:r>
    </w:p>
    <w:p w14:paraId="1B400A19" w14:textId="77777777" w:rsidR="00332FFE" w:rsidRPr="00413148" w:rsidRDefault="00332FFE" w:rsidP="006753F8"/>
    <w:p w14:paraId="02D01CF4" w14:textId="5DEDBE58" w:rsidR="00332FFE" w:rsidRPr="00413148" w:rsidRDefault="00332FFE" w:rsidP="006753F8">
      <w:r w:rsidRPr="00413148">
        <w:t xml:space="preserve">A disability may also be a condition that is not readily apparent to other people. Diabetes, allergies, arthritis, and mental health diagnoses </w:t>
      </w:r>
      <w:r w:rsidR="00690677" w:rsidRPr="00413148">
        <w:t xml:space="preserve">are examples of conditions that </w:t>
      </w:r>
      <w:r w:rsidRPr="00413148">
        <w:t>may manifest for individuals</w:t>
      </w:r>
      <w:r w:rsidR="00AC411C" w:rsidRPr="00413148">
        <w:t xml:space="preserve"> in ways</w:t>
      </w:r>
      <w:r w:rsidRPr="00413148">
        <w:t xml:space="preserve"> that remain “invisible” to others. Covered entities</w:t>
      </w:r>
      <w:r w:rsidR="00105233" w:rsidRPr="00413148">
        <w:t>—</w:t>
      </w:r>
      <w:r w:rsidRPr="00413148">
        <w:t>public accommodations, housing providers, and employers</w:t>
      </w:r>
      <w:r w:rsidR="00105233" w:rsidRPr="00413148">
        <w:t>—</w:t>
      </w:r>
      <w:r w:rsidRPr="00413148">
        <w:t>have a responsibility to ensure that all staff, and especially managers</w:t>
      </w:r>
      <w:r w:rsidR="000B2455" w:rsidRPr="00413148">
        <w:t>,</w:t>
      </w:r>
      <w:r w:rsidRPr="00413148">
        <w:t xml:space="preserve"> are equipped to engage respectfully with colleagues, patrons, tenants, and employees</w:t>
      </w:r>
      <w:r w:rsidR="005C2405" w:rsidRPr="00413148">
        <w:t>,</w:t>
      </w:r>
      <w:r w:rsidRPr="00413148">
        <w:t xml:space="preserve"> regardless of disabilities. This is especially important for staff that are involved in handling potential accommodation requests. </w:t>
      </w:r>
      <w:r w:rsidR="66800797" w:rsidRPr="00413148">
        <w:t>Such requests require engaging in a c</w:t>
      </w:r>
      <w:r w:rsidRPr="00413148">
        <w:t>ooperative dialogue</w:t>
      </w:r>
      <w:r w:rsidR="2AAE1BD7" w:rsidRPr="00413148">
        <w:t xml:space="preserve"> </w:t>
      </w:r>
      <w:r w:rsidRPr="00413148">
        <w:t>in a timely fashion</w:t>
      </w:r>
      <w:r w:rsidR="005C2405" w:rsidRPr="00413148">
        <w:t>,</w:t>
      </w:r>
      <w:r w:rsidRPr="00413148">
        <w:t xml:space="preserve"> even where a particular individual’s need for an accommodation is not immediately obvious or the condition related to the requested accommodation is unfamiliar. Cooperative dialogues should also be free from assumptions or biases about an individual’s capacity and limitations.</w:t>
      </w:r>
    </w:p>
    <w:p w14:paraId="04F37524" w14:textId="3B6A4F2A" w:rsidR="0045369C" w:rsidRPr="00413148" w:rsidRDefault="0045369C" w:rsidP="006753F8"/>
    <w:p w14:paraId="2E55A1EC" w14:textId="77777777" w:rsidR="00A613B0" w:rsidRDefault="00A613B0" w:rsidP="006753F8">
      <w:pPr>
        <w:spacing w:after="160" w:line="259" w:lineRule="auto"/>
      </w:pPr>
      <w:r>
        <w:lastRenderedPageBreak/>
        <w:br w:type="page"/>
      </w:r>
    </w:p>
    <w:p w14:paraId="0AE197E9" w14:textId="5AF9704A" w:rsidR="00F61D25" w:rsidRPr="00C82998" w:rsidRDefault="00102E81" w:rsidP="006753F8">
      <w:pPr>
        <w:pStyle w:val="Heading2"/>
        <w:numPr>
          <w:ilvl w:val="0"/>
          <w:numId w:val="60"/>
        </w:numPr>
        <w:rPr>
          <w:rFonts w:cs="Arial"/>
          <w:b/>
          <w:bCs/>
          <w:color w:val="4B0082"/>
          <w:sz w:val="36"/>
          <w:szCs w:val="36"/>
        </w:rPr>
      </w:pPr>
      <w:bookmarkStart w:id="4" w:name="_Toc218083732"/>
      <w:r w:rsidRPr="00C82998">
        <w:rPr>
          <w:rFonts w:cs="Arial"/>
          <w:b/>
          <w:bCs/>
          <w:color w:val="4B0082"/>
          <w:sz w:val="36"/>
          <w:szCs w:val="36"/>
        </w:rPr>
        <w:lastRenderedPageBreak/>
        <w:t>Disability-Based Causes of Action</w:t>
      </w:r>
      <w:bookmarkEnd w:id="4"/>
    </w:p>
    <w:p w14:paraId="7E139EC7" w14:textId="77777777" w:rsidR="0045369C" w:rsidRPr="00413148" w:rsidRDefault="0045369C" w:rsidP="006753F8"/>
    <w:p w14:paraId="0B8D881A" w14:textId="1327EF4A" w:rsidR="00AF513F" w:rsidRPr="00413148" w:rsidRDefault="00AF513F" w:rsidP="006753F8">
      <w:r w:rsidRPr="00413148">
        <w:t>The NYCHRL</w:t>
      </w:r>
      <w:r w:rsidR="49C23C70" w:rsidRPr="00413148">
        <w:t>, Title 8 of the N.Y.C. Admin</w:t>
      </w:r>
      <w:r w:rsidR="00386F05" w:rsidRPr="00413148">
        <w:t>.</w:t>
      </w:r>
      <w:r w:rsidR="49C23C70" w:rsidRPr="00413148">
        <w:t xml:space="preserve"> Code</w:t>
      </w:r>
      <w:r w:rsidR="00386F05" w:rsidRPr="00413148">
        <w:t>,</w:t>
      </w:r>
      <w:r w:rsidRPr="00413148">
        <w:t xml:space="preserve"> creates seven </w:t>
      </w:r>
      <w:r w:rsidR="000A5266" w:rsidRPr="00413148">
        <w:t xml:space="preserve">(7) </w:t>
      </w:r>
      <w:r w:rsidRPr="00413148">
        <w:t>causes of action related to disability discrimination</w:t>
      </w:r>
      <w:r w:rsidR="000831D7" w:rsidRPr="00413148">
        <w:t>, and</w:t>
      </w:r>
      <w:r w:rsidR="00AA7413" w:rsidRPr="00413148">
        <w:t xml:space="preserve"> </w:t>
      </w:r>
      <w:r w:rsidR="268AAAF5" w:rsidRPr="00413148">
        <w:t xml:space="preserve">an additional </w:t>
      </w:r>
      <w:r w:rsidR="004C516F" w:rsidRPr="00413148">
        <w:t xml:space="preserve">cause of action arises under Title </w:t>
      </w:r>
      <w:r w:rsidR="00BD4B4A" w:rsidRPr="00413148">
        <w:t>14</w:t>
      </w:r>
      <w:r w:rsidR="002C2AAC" w:rsidRPr="00413148">
        <w:t xml:space="preserve"> of the N.Y.C. Admin. Code</w:t>
      </w:r>
      <w:r w:rsidR="5DD405DF" w:rsidRPr="00413148">
        <w:t>. Each is described briefly here.</w:t>
      </w:r>
    </w:p>
    <w:p w14:paraId="4FAAF615" w14:textId="77777777" w:rsidR="008E4BAD" w:rsidRPr="00413148" w:rsidRDefault="008E4BAD" w:rsidP="006753F8"/>
    <w:p w14:paraId="6CAF761C" w14:textId="77777777" w:rsidR="00F55621" w:rsidRPr="00413148" w:rsidRDefault="00E6556F" w:rsidP="00077804">
      <w:pPr>
        <w:pStyle w:val="Heading3"/>
        <w:numPr>
          <w:ilvl w:val="0"/>
          <w:numId w:val="62"/>
        </w:numPr>
        <w:rPr>
          <w:rFonts w:cs="Arial"/>
          <w:b/>
          <w:bCs/>
          <w:color w:val="4B0082"/>
        </w:rPr>
      </w:pPr>
      <w:r w:rsidRPr="00413148">
        <w:rPr>
          <w:rFonts w:cs="Arial"/>
          <w:b/>
          <w:bCs/>
          <w:color w:val="4B0082"/>
        </w:rPr>
        <w:t>D</w:t>
      </w:r>
      <w:r w:rsidR="00284B26" w:rsidRPr="00413148">
        <w:rPr>
          <w:rFonts w:cs="Arial"/>
          <w:b/>
          <w:bCs/>
          <w:color w:val="4B0082"/>
        </w:rPr>
        <w:t>iscriminati</w:t>
      </w:r>
      <w:r w:rsidRPr="00413148">
        <w:rPr>
          <w:rFonts w:cs="Arial"/>
          <w:b/>
          <w:bCs/>
          <w:color w:val="4B0082"/>
        </w:rPr>
        <w:t>ng</w:t>
      </w:r>
      <w:r w:rsidR="00284B26" w:rsidRPr="00413148">
        <w:rPr>
          <w:rFonts w:cs="Arial"/>
          <w:b/>
          <w:bCs/>
          <w:color w:val="4B0082"/>
        </w:rPr>
        <w:t xml:space="preserve"> against a person or persons based on actual or perceived disability.</w:t>
      </w:r>
      <w:r w:rsidR="00D422F3" w:rsidRPr="00413148">
        <w:rPr>
          <w:rFonts w:cs="Arial"/>
          <w:b/>
          <w:bCs/>
          <w:color w:val="4B0082"/>
        </w:rPr>
        <w:t xml:space="preserve"> </w:t>
      </w:r>
    </w:p>
    <w:p w14:paraId="2252EFB5" w14:textId="77777777" w:rsidR="00E67989" w:rsidRPr="00413148" w:rsidRDefault="00E67989" w:rsidP="006753F8">
      <w:pPr>
        <w:ind w:left="1440"/>
        <w:rPr>
          <w:rFonts w:cs="Arial"/>
          <w:color w:val="000000" w:themeColor="text1"/>
        </w:rPr>
      </w:pPr>
      <w:r w:rsidRPr="00413148">
        <w:t xml:space="preserve">Under </w:t>
      </w:r>
      <w:r w:rsidRPr="00413148">
        <w:rPr>
          <w:rFonts w:cs="Arial"/>
          <w:color w:val="000000" w:themeColor="text1"/>
        </w:rPr>
        <w:t>the City Human Rights Law, most covered entities are prohibited from expressing, directly or indirectly, any limitation, specification, or discrimination against an individual with a disability</w:t>
      </w:r>
      <w:r w:rsidR="00690677" w:rsidRPr="00413148">
        <w:rPr>
          <w:rFonts w:cs="Arial"/>
          <w:color w:val="000000" w:themeColor="text1"/>
        </w:rPr>
        <w:t xml:space="preserve"> in actions </w:t>
      </w:r>
      <w:r w:rsidR="00F33E0B" w:rsidRPr="00413148">
        <w:rPr>
          <w:rFonts w:cs="Arial"/>
          <w:color w:val="000000" w:themeColor="text1"/>
        </w:rPr>
        <w:t>related to</w:t>
      </w:r>
      <w:r w:rsidR="00690677" w:rsidRPr="00413148">
        <w:rPr>
          <w:rFonts w:cs="Arial"/>
          <w:color w:val="000000" w:themeColor="text1"/>
        </w:rPr>
        <w:t xml:space="preserve"> housing, employment</w:t>
      </w:r>
      <w:r w:rsidR="00F33E0B" w:rsidRPr="00413148">
        <w:rPr>
          <w:rFonts w:cs="Arial"/>
          <w:color w:val="000000" w:themeColor="text1"/>
        </w:rPr>
        <w:t>,</w:t>
      </w:r>
      <w:r w:rsidR="00690677" w:rsidRPr="00413148">
        <w:rPr>
          <w:rFonts w:cs="Arial"/>
          <w:color w:val="000000" w:themeColor="text1"/>
        </w:rPr>
        <w:t xml:space="preserve"> or public accommodation</w:t>
      </w:r>
      <w:r w:rsidR="00F33E0B" w:rsidRPr="00413148">
        <w:rPr>
          <w:rFonts w:cs="Arial"/>
          <w:color w:val="000000" w:themeColor="text1"/>
        </w:rPr>
        <w:t>s</w:t>
      </w:r>
      <w:r w:rsidR="00F20EB9" w:rsidRPr="00413148">
        <w:rPr>
          <w:rFonts w:cs="Arial"/>
          <w:color w:val="000000" w:themeColor="text1"/>
        </w:rPr>
        <w:t>.</w:t>
      </w:r>
      <w:r w:rsidR="00F20EB9" w:rsidRPr="00413148">
        <w:rPr>
          <w:rStyle w:val="FootnoteReference"/>
          <w:rFonts w:cs="Arial"/>
          <w:color w:val="000000" w:themeColor="text1"/>
        </w:rPr>
        <w:footnoteReference w:id="15"/>
      </w:r>
    </w:p>
    <w:p w14:paraId="62C2BD02" w14:textId="77777777" w:rsidR="008E4BAD" w:rsidRPr="00413148" w:rsidRDefault="008E4BAD" w:rsidP="006753F8">
      <w:pPr>
        <w:ind w:left="1440"/>
      </w:pPr>
    </w:p>
    <w:p w14:paraId="63D9CFCA" w14:textId="77777777" w:rsidR="00A843FC" w:rsidRPr="00413148" w:rsidRDefault="00274459" w:rsidP="00077804">
      <w:pPr>
        <w:pStyle w:val="Heading3"/>
        <w:numPr>
          <w:ilvl w:val="0"/>
          <w:numId w:val="62"/>
        </w:numPr>
        <w:rPr>
          <w:rFonts w:cs="Arial"/>
          <w:b/>
          <w:bCs/>
          <w:color w:val="4B0082"/>
        </w:rPr>
      </w:pPr>
      <w:r w:rsidRPr="00413148">
        <w:rPr>
          <w:rFonts w:cs="Arial"/>
          <w:b/>
          <w:bCs/>
          <w:color w:val="4B0082"/>
        </w:rPr>
        <w:t>Failure to provide reasonable accommodations to individuals with disabilities</w:t>
      </w:r>
      <w:r w:rsidR="00A843FC" w:rsidRPr="00413148">
        <w:rPr>
          <w:rFonts w:cs="Arial"/>
          <w:b/>
          <w:bCs/>
          <w:color w:val="4B0082"/>
        </w:rPr>
        <w:t>.</w:t>
      </w:r>
      <w:r w:rsidR="6C3F2480" w:rsidRPr="00413148">
        <w:rPr>
          <w:rFonts w:cs="Arial"/>
          <w:b/>
          <w:bCs/>
          <w:color w:val="4B0082"/>
        </w:rPr>
        <w:t xml:space="preserve"> </w:t>
      </w:r>
    </w:p>
    <w:p w14:paraId="36055EF6" w14:textId="3A7E2ACC" w:rsidR="00332FFE" w:rsidRPr="00413148" w:rsidRDefault="00A843FC" w:rsidP="006753F8">
      <w:pPr>
        <w:ind w:left="1440"/>
      </w:pPr>
      <w:r w:rsidRPr="00413148">
        <w:t>Covered entities are required to provide</w:t>
      </w:r>
      <w:r w:rsidR="00977B94" w:rsidRPr="00413148">
        <w:t xml:space="preserve"> accommodations to individuals with disabilities to enable them “to satisfy the essential requisites of a job” in employment or </w:t>
      </w:r>
      <w:r w:rsidR="004457A4" w:rsidRPr="00413148">
        <w:t>“</w:t>
      </w:r>
      <w:r w:rsidR="00977B94" w:rsidRPr="00413148">
        <w:t>enjoy the right or rights in question provided that the disability is known or should have been known by the covered entity” in housing or public accommodations.</w:t>
      </w:r>
      <w:r w:rsidR="00977B94" w:rsidRPr="00413148">
        <w:rPr>
          <w:vertAlign w:val="superscript"/>
        </w:rPr>
        <w:footnoteReference w:id="16"/>
      </w:r>
      <w:r w:rsidR="00977B94" w:rsidRPr="00413148">
        <w:t xml:space="preserve"> “Reasonable accommodation” is defined in the NYCHRL as an accommodation that can be made that does not cause undue hardship in the conduct of the covered entity’s business.</w:t>
      </w:r>
      <w:r w:rsidR="00F13D1B" w:rsidRPr="00413148">
        <w:rPr>
          <w:rStyle w:val="FootnoteReference"/>
        </w:rPr>
        <w:footnoteReference w:id="17"/>
      </w:r>
      <w:r w:rsidR="00977B94" w:rsidRPr="00413148">
        <w:t xml:space="preserve"> The concepts of “reasonable accommodation” and “undue hardship” are inextricably intertwined in the NYCHRL.</w:t>
      </w:r>
    </w:p>
    <w:p w14:paraId="0718D066" w14:textId="77777777" w:rsidR="008E4BAD" w:rsidRPr="00413148" w:rsidRDefault="008E4BAD" w:rsidP="006753F8">
      <w:pPr>
        <w:ind w:left="1440"/>
      </w:pPr>
    </w:p>
    <w:p w14:paraId="5DFF820A" w14:textId="77777777" w:rsidR="00162873" w:rsidRPr="00413148" w:rsidRDefault="00162873" w:rsidP="00077804">
      <w:pPr>
        <w:pStyle w:val="Heading3"/>
        <w:numPr>
          <w:ilvl w:val="0"/>
          <w:numId w:val="62"/>
        </w:numPr>
        <w:rPr>
          <w:rFonts w:cs="Arial"/>
          <w:b/>
          <w:bCs/>
          <w:color w:val="4B0082"/>
        </w:rPr>
      </w:pPr>
      <w:r w:rsidRPr="00413148">
        <w:rPr>
          <w:rFonts w:cs="Arial"/>
          <w:b/>
          <w:bCs/>
          <w:color w:val="4B0082"/>
        </w:rPr>
        <w:t>Failure to engage in a cooperative dialogue</w:t>
      </w:r>
      <w:r w:rsidRPr="00413148">
        <w:rPr>
          <w:rStyle w:val="FootnoteReference"/>
          <w:color w:val="4B0082"/>
        </w:rPr>
        <w:footnoteReference w:id="18"/>
      </w:r>
      <w:r w:rsidRPr="00413148">
        <w:rPr>
          <w:rFonts w:cs="Arial"/>
          <w:b/>
          <w:bCs/>
          <w:color w:val="4B0082"/>
        </w:rPr>
        <w:t xml:space="preserve"> within a reasonable time.</w:t>
      </w:r>
    </w:p>
    <w:p w14:paraId="2E2CA12F" w14:textId="66DF88B3" w:rsidR="00DC3141" w:rsidRPr="00413148" w:rsidRDefault="00162873" w:rsidP="006753F8">
      <w:pPr>
        <w:ind w:left="1440"/>
      </w:pPr>
      <w:r w:rsidRPr="00413148">
        <w:t xml:space="preserve">Covered entities must engage </w:t>
      </w:r>
      <w:r w:rsidR="00EF5227" w:rsidRPr="00413148">
        <w:t xml:space="preserve">in a cooperative dialogue </w:t>
      </w:r>
      <w:r w:rsidRPr="00413148">
        <w:t xml:space="preserve">with a person who has requested </w:t>
      </w:r>
      <w:proofErr w:type="gramStart"/>
      <w:r w:rsidRPr="00413148">
        <w:t>an accommodation</w:t>
      </w:r>
      <w:proofErr w:type="gramEnd"/>
      <w:r w:rsidRPr="00413148">
        <w:t xml:space="preserve"> or who the covered entity has </w:t>
      </w:r>
      <w:proofErr w:type="gramStart"/>
      <w:r w:rsidRPr="00413148">
        <w:t>notice</w:t>
      </w:r>
      <w:proofErr w:type="gramEnd"/>
      <w:r w:rsidRPr="00413148">
        <w:t xml:space="preserve"> may require such an accommodation.</w:t>
      </w:r>
      <w:r w:rsidRPr="00413148">
        <w:rPr>
          <w:rStyle w:val="FootnoteReference"/>
        </w:rPr>
        <w:footnoteReference w:id="19"/>
      </w:r>
      <w:r w:rsidRPr="00413148">
        <w:t xml:space="preserve"> Refusing or otherwise failing to engage in such a dialogue is a standalone violation of the NYCHRL</w:t>
      </w:r>
      <w:r w:rsidR="0012058A" w:rsidRPr="00413148">
        <w:t>. In addition,</w:t>
      </w:r>
      <w:r w:rsidR="002B5CA7" w:rsidRPr="00413148">
        <w:t xml:space="preserve"> </w:t>
      </w:r>
      <w:r w:rsidRPr="00413148">
        <w:t>covered housing providers and employers are required to conclude every cooperative dialogue with a written final determination.</w:t>
      </w:r>
      <w:r w:rsidRPr="00413148">
        <w:rPr>
          <w:rStyle w:val="FootnoteReference"/>
        </w:rPr>
        <w:footnoteReference w:id="20"/>
      </w:r>
    </w:p>
    <w:p w14:paraId="013062F7" w14:textId="77777777" w:rsidR="008E4BAD" w:rsidRPr="00413148" w:rsidRDefault="008E4BAD" w:rsidP="006753F8">
      <w:pPr>
        <w:ind w:left="1440"/>
      </w:pPr>
    </w:p>
    <w:p w14:paraId="38515DDF" w14:textId="77777777" w:rsidR="00DC3141" w:rsidRPr="00413148" w:rsidRDefault="0005269A" w:rsidP="00077804">
      <w:pPr>
        <w:pStyle w:val="Heading3"/>
        <w:numPr>
          <w:ilvl w:val="0"/>
          <w:numId w:val="62"/>
        </w:numPr>
        <w:rPr>
          <w:rFonts w:cs="Arial"/>
          <w:b/>
          <w:bCs/>
          <w:color w:val="4B0082"/>
        </w:rPr>
      </w:pPr>
      <w:r w:rsidRPr="00413148">
        <w:rPr>
          <w:rFonts w:cs="Arial"/>
          <w:b/>
          <w:bCs/>
          <w:color w:val="4B0082"/>
        </w:rPr>
        <w:lastRenderedPageBreak/>
        <w:t>Failure to provide a written final determination at the conclusion of a cooperative dialogue in employment and housing.</w:t>
      </w:r>
    </w:p>
    <w:p w14:paraId="248AFA13" w14:textId="1F9FBA89" w:rsidR="0005269A" w:rsidRPr="00413148" w:rsidRDefault="0005269A" w:rsidP="006753F8">
      <w:pPr>
        <w:ind w:left="1440"/>
      </w:pPr>
      <w:r w:rsidRPr="00413148">
        <w:t xml:space="preserve">Upon reaching a final determination at the conclusion of a cooperative dialogue, </w:t>
      </w:r>
      <w:r w:rsidR="00A7276A" w:rsidRPr="00413148">
        <w:t xml:space="preserve">covered </w:t>
      </w:r>
      <w:r w:rsidRPr="00413148">
        <w:t xml:space="preserve">housing providers and employers are required to provide any person requesting </w:t>
      </w:r>
      <w:proofErr w:type="gramStart"/>
      <w:r w:rsidRPr="00413148">
        <w:t>an accommodation</w:t>
      </w:r>
      <w:proofErr w:type="gramEnd"/>
      <w:r w:rsidRPr="00413148">
        <w:t xml:space="preserve"> who participated in the cooperative dialogue with a written final determination identifying any accommodation(s) granted or denied.</w:t>
      </w:r>
      <w:r w:rsidRPr="00413148">
        <w:rPr>
          <w:rStyle w:val="FootnoteReference"/>
          <w:rFonts w:eastAsia="Arial" w:cs="Arial"/>
        </w:rPr>
        <w:footnoteReference w:id="21"/>
      </w:r>
    </w:p>
    <w:p w14:paraId="02A8637A" w14:textId="77777777" w:rsidR="008E4BAD" w:rsidRPr="00413148" w:rsidRDefault="008E4BAD" w:rsidP="006753F8">
      <w:pPr>
        <w:ind w:left="1440"/>
      </w:pPr>
    </w:p>
    <w:p w14:paraId="10FCF81F" w14:textId="77777777" w:rsidR="0005269A" w:rsidRPr="00413148" w:rsidRDefault="00822575" w:rsidP="00077804">
      <w:pPr>
        <w:pStyle w:val="Heading3"/>
        <w:numPr>
          <w:ilvl w:val="0"/>
          <w:numId w:val="62"/>
        </w:numPr>
        <w:rPr>
          <w:rFonts w:cs="Arial"/>
          <w:b/>
          <w:bCs/>
          <w:color w:val="4B0082"/>
        </w:rPr>
      </w:pPr>
      <w:r w:rsidRPr="00413148">
        <w:rPr>
          <w:rFonts w:cs="Arial"/>
          <w:b/>
          <w:bCs/>
          <w:color w:val="4B0082"/>
        </w:rPr>
        <w:t xml:space="preserve">Retaliation. </w:t>
      </w:r>
    </w:p>
    <w:p w14:paraId="53C7649A" w14:textId="4992E625" w:rsidR="0005269A" w:rsidRPr="00413148" w:rsidRDefault="0005269A" w:rsidP="006753F8">
      <w:pPr>
        <w:ind w:left="1440"/>
        <w:rPr>
          <w:rFonts w:cs="Arial"/>
        </w:rPr>
      </w:pPr>
      <w:r w:rsidRPr="00413148">
        <w:t xml:space="preserve">When </w:t>
      </w:r>
      <w:r w:rsidRPr="00413148">
        <w:rPr>
          <w:rFonts w:cs="Arial"/>
        </w:rPr>
        <w:t xml:space="preserve">an individual speaks out against or opposes what they believe in good faith to be unlawful discrimination, it is illegal to take an action that is reasonably likely to deter them from speaking out, opposing, or participating in an investigation into the </w:t>
      </w:r>
      <w:r w:rsidR="50FEC2BB" w:rsidRPr="00413148">
        <w:t>alleged discrimination</w:t>
      </w:r>
      <w:r w:rsidRPr="00413148">
        <w:rPr>
          <w:rFonts w:cs="Arial"/>
        </w:rPr>
        <w:t>.</w:t>
      </w:r>
      <w:r w:rsidRPr="00413148">
        <w:rPr>
          <w:rStyle w:val="FootnoteReference"/>
          <w:rFonts w:cs="Arial"/>
        </w:rPr>
        <w:footnoteReference w:id="22"/>
      </w:r>
      <w:r w:rsidRPr="00413148">
        <w:rPr>
          <w:rFonts w:cs="Arial"/>
        </w:rPr>
        <w:t xml:space="preserve"> </w:t>
      </w:r>
      <w:r w:rsidR="002E10C3" w:rsidRPr="00413148">
        <w:rPr>
          <w:rFonts w:cs="Arial"/>
        </w:rPr>
        <w:t>The act of requesting a reasonable accommodation</w:t>
      </w:r>
      <w:r w:rsidR="00CE4904" w:rsidRPr="00413148">
        <w:rPr>
          <w:rFonts w:cs="Arial"/>
        </w:rPr>
        <w:t xml:space="preserve"> is considered </w:t>
      </w:r>
      <w:r w:rsidR="00547D5A" w:rsidRPr="00413148">
        <w:rPr>
          <w:rFonts w:cs="Arial"/>
        </w:rPr>
        <w:t>protected activity</w:t>
      </w:r>
      <w:r w:rsidR="00CE4904" w:rsidRPr="00413148">
        <w:rPr>
          <w:rFonts w:cs="Arial"/>
        </w:rPr>
        <w:t xml:space="preserve"> for the purposes of this section. </w:t>
      </w:r>
      <w:r w:rsidRPr="00413148">
        <w:rPr>
          <w:rFonts w:cs="Arial"/>
        </w:rPr>
        <w:t>Retaliation can be a materially adverse change to the terms and conditions of employment, housing, or participation in a program, or more subtle forms of negative treatment.</w:t>
      </w:r>
      <w:r w:rsidR="00660EBD" w:rsidRPr="00413148">
        <w:rPr>
          <w:rStyle w:val="FootnoteReference"/>
          <w:rFonts w:cs="Arial"/>
        </w:rPr>
        <w:footnoteReference w:id="23"/>
      </w:r>
    </w:p>
    <w:p w14:paraId="236B404A" w14:textId="77777777" w:rsidR="008E4BAD" w:rsidRPr="00413148" w:rsidRDefault="008E4BAD" w:rsidP="006753F8">
      <w:pPr>
        <w:ind w:left="1440"/>
      </w:pPr>
    </w:p>
    <w:p w14:paraId="648E1047" w14:textId="77777777" w:rsidR="00426FF6" w:rsidRPr="00413148" w:rsidRDefault="00426FF6" w:rsidP="00077804">
      <w:pPr>
        <w:pStyle w:val="Heading3"/>
        <w:numPr>
          <w:ilvl w:val="0"/>
          <w:numId w:val="62"/>
        </w:numPr>
        <w:rPr>
          <w:b/>
          <w:bCs/>
          <w:color w:val="4B0082"/>
        </w:rPr>
      </w:pPr>
      <w:r w:rsidRPr="00413148">
        <w:rPr>
          <w:rFonts w:cs="Arial"/>
          <w:b/>
          <w:bCs/>
          <w:color w:val="4B0082"/>
        </w:rPr>
        <w:t>Discrimination based on one’s “association” with an individual with an actual or perceived disability is prohibited.</w:t>
      </w:r>
    </w:p>
    <w:p w14:paraId="391352E1" w14:textId="4CDBF9DE" w:rsidR="0005269A" w:rsidRPr="00413148" w:rsidRDefault="0005269A" w:rsidP="006753F8">
      <w:pPr>
        <w:ind w:left="1440"/>
      </w:pPr>
      <w:r w:rsidRPr="00413148">
        <w:t xml:space="preserve">Employers, housing providers, and public accommodations are prohibited from treating individuals less well because of their relationship </w:t>
      </w:r>
      <w:r w:rsidR="00525C3D" w:rsidRPr="00413148">
        <w:t xml:space="preserve">or association </w:t>
      </w:r>
      <w:r w:rsidRPr="00413148">
        <w:t>with a person who has a disability.</w:t>
      </w:r>
      <w:r w:rsidR="00BB17FC" w:rsidRPr="00413148">
        <w:rPr>
          <w:rStyle w:val="FootnoteReference"/>
        </w:rPr>
        <w:footnoteReference w:id="24"/>
      </w:r>
      <w:r w:rsidRPr="00413148">
        <w:t xml:space="preserve"> </w:t>
      </w:r>
      <w:r w:rsidR="29B50AFC" w:rsidRPr="00413148">
        <w:t>A</w:t>
      </w:r>
      <w:r w:rsidRPr="00413148">
        <w:t xml:space="preserve"> claim of “associational discrimination,” </w:t>
      </w:r>
      <w:r w:rsidR="006E36E5" w:rsidRPr="00413148">
        <w:t xml:space="preserve"> </w:t>
      </w:r>
      <w:r w:rsidR="3437F802" w:rsidRPr="00413148">
        <w:t xml:space="preserve">requires </w:t>
      </w:r>
      <w:r w:rsidR="006E36E5" w:rsidRPr="00413148">
        <w:t>that</w:t>
      </w:r>
      <w:r w:rsidR="0005456B" w:rsidRPr="00413148">
        <w:t>: (a)</w:t>
      </w:r>
      <w:r w:rsidR="006E36E5" w:rsidRPr="00413148">
        <w:t xml:space="preserve"> a </w:t>
      </w:r>
      <w:r w:rsidR="00EB4CCE" w:rsidRPr="00413148">
        <w:t xml:space="preserve">covered entity </w:t>
      </w:r>
      <w:r w:rsidR="7E5A2C7C" w:rsidRPr="00413148">
        <w:t xml:space="preserve">caused harm to a person </w:t>
      </w:r>
      <w:r w:rsidR="005C2115" w:rsidRPr="00413148">
        <w:lastRenderedPageBreak/>
        <w:t xml:space="preserve">associated with </w:t>
      </w:r>
      <w:r w:rsidR="19F3EAB6" w:rsidRPr="00413148">
        <w:t>an</w:t>
      </w:r>
      <w:r w:rsidR="005C2115" w:rsidRPr="00413148">
        <w:t xml:space="preserve"> individual with </w:t>
      </w:r>
      <w:r w:rsidR="00D14FE1" w:rsidRPr="00413148">
        <w:t xml:space="preserve">a </w:t>
      </w:r>
      <w:r w:rsidR="005C2115" w:rsidRPr="00413148">
        <w:t>disability</w:t>
      </w:r>
      <w:r w:rsidR="004F120D" w:rsidRPr="00413148">
        <w:t xml:space="preserve">, and </w:t>
      </w:r>
      <w:r w:rsidR="0005456B" w:rsidRPr="00413148">
        <w:t xml:space="preserve">(b) </w:t>
      </w:r>
      <w:r w:rsidR="004F120D" w:rsidRPr="00413148">
        <w:t>the harm the associated individual suffers must be</w:t>
      </w:r>
      <w:r w:rsidRPr="00413148" w:rsidDel="004F120D">
        <w:t xml:space="preserve"> </w:t>
      </w:r>
      <w:r w:rsidR="51EC4765" w:rsidRPr="00413148">
        <w:t xml:space="preserve">distinct </w:t>
      </w:r>
      <w:r w:rsidRPr="00413148">
        <w:t>from the harm to the individual with a disability.</w:t>
      </w:r>
      <w:r w:rsidRPr="00413148">
        <w:rPr>
          <w:rStyle w:val="FootnoteReference"/>
        </w:rPr>
        <w:footnoteReference w:id="25"/>
      </w:r>
    </w:p>
    <w:p w14:paraId="355F4879" w14:textId="77777777" w:rsidR="008E4BAD" w:rsidRPr="00413148" w:rsidRDefault="008E4BAD" w:rsidP="006753F8">
      <w:pPr>
        <w:ind w:left="1440"/>
      </w:pPr>
    </w:p>
    <w:p w14:paraId="236C0F6B" w14:textId="77777777" w:rsidR="004A0EC0" w:rsidRPr="00413148" w:rsidRDefault="00426FF6" w:rsidP="00077804">
      <w:pPr>
        <w:pStyle w:val="Heading3"/>
        <w:numPr>
          <w:ilvl w:val="0"/>
          <w:numId w:val="62"/>
        </w:numPr>
        <w:rPr>
          <w:b/>
          <w:bCs/>
          <w:color w:val="4B0082"/>
        </w:rPr>
      </w:pPr>
      <w:r w:rsidRPr="00413148">
        <w:rPr>
          <w:rFonts w:cs="Arial"/>
          <w:b/>
          <w:bCs/>
          <w:color w:val="4B0082"/>
        </w:rPr>
        <w:t>Discriminatory Harassment.</w:t>
      </w:r>
    </w:p>
    <w:p w14:paraId="03983DF6" w14:textId="77777777" w:rsidR="00426FF6" w:rsidRPr="00413148" w:rsidRDefault="00426FF6" w:rsidP="006753F8">
      <w:pPr>
        <w:ind w:left="1440"/>
        <w:rPr>
          <w:rFonts w:eastAsia="Calibri"/>
        </w:rPr>
      </w:pPr>
      <w:r w:rsidRPr="00413148">
        <w:rPr>
          <w:rFonts w:eastAsia="Calibri"/>
        </w:rPr>
        <w:t xml:space="preserve">The NYCHRL prohibits individuals from interfering or attempting to interfere </w:t>
      </w:r>
      <w:r w:rsidR="00A73143" w:rsidRPr="00413148">
        <w:rPr>
          <w:rFonts w:eastAsia="Calibri"/>
        </w:rPr>
        <w:t xml:space="preserve">with </w:t>
      </w:r>
      <w:r w:rsidR="00CB1174" w:rsidRPr="00413148">
        <w:rPr>
          <w:rFonts w:eastAsia="Calibri"/>
        </w:rPr>
        <w:t xml:space="preserve">legal </w:t>
      </w:r>
      <w:r w:rsidR="00A73143" w:rsidRPr="00413148">
        <w:rPr>
          <w:rFonts w:eastAsia="Calibri"/>
        </w:rPr>
        <w:t xml:space="preserve">rights secured by the </w:t>
      </w:r>
      <w:r w:rsidR="00CB1174" w:rsidRPr="00413148">
        <w:rPr>
          <w:rFonts w:eastAsia="Calibri"/>
        </w:rPr>
        <w:t xml:space="preserve">U.S. or New York State </w:t>
      </w:r>
      <w:r w:rsidR="00A73143" w:rsidRPr="00413148">
        <w:rPr>
          <w:rFonts w:eastAsia="Calibri"/>
        </w:rPr>
        <w:t>constitution</w:t>
      </w:r>
      <w:r w:rsidR="00CB1174" w:rsidRPr="00413148">
        <w:rPr>
          <w:rFonts w:eastAsia="Calibri"/>
        </w:rPr>
        <w:t>s</w:t>
      </w:r>
      <w:r w:rsidR="00A73143" w:rsidRPr="00413148">
        <w:rPr>
          <w:rFonts w:eastAsia="Calibri"/>
        </w:rPr>
        <w:t xml:space="preserve"> </w:t>
      </w:r>
      <w:r w:rsidR="00CB1174" w:rsidRPr="00413148">
        <w:rPr>
          <w:rFonts w:eastAsia="Calibri"/>
        </w:rPr>
        <w:t xml:space="preserve">and other federal, </w:t>
      </w:r>
      <w:r w:rsidR="00A73143" w:rsidRPr="00413148">
        <w:rPr>
          <w:rFonts w:eastAsia="Calibri"/>
        </w:rPr>
        <w:t xml:space="preserve">state, or </w:t>
      </w:r>
      <w:r w:rsidR="00CB1174" w:rsidRPr="00413148">
        <w:rPr>
          <w:rFonts w:eastAsia="Calibri"/>
        </w:rPr>
        <w:t>city</w:t>
      </w:r>
      <w:r w:rsidR="00A73143" w:rsidRPr="00413148">
        <w:rPr>
          <w:rFonts w:eastAsia="Calibri"/>
        </w:rPr>
        <w:t xml:space="preserve"> law</w:t>
      </w:r>
      <w:r w:rsidR="00547D5A" w:rsidRPr="00413148">
        <w:rPr>
          <w:rFonts w:eastAsia="Calibri"/>
        </w:rPr>
        <w:t xml:space="preserve">s </w:t>
      </w:r>
      <w:r w:rsidRPr="00413148">
        <w:rPr>
          <w:rFonts w:eastAsia="Calibri"/>
        </w:rPr>
        <w:t>through harm or threats of harm, when such actions are based, at least in part, on the actual or perceived disability of the person receiving the discriminatory harassment.</w:t>
      </w:r>
      <w:r w:rsidRPr="00413148">
        <w:rPr>
          <w:rStyle w:val="FootnoteReference"/>
          <w:rFonts w:eastAsia="Calibri"/>
        </w:rPr>
        <w:footnoteReference w:id="26"/>
      </w:r>
    </w:p>
    <w:p w14:paraId="028DC1CA" w14:textId="77777777" w:rsidR="00960404" w:rsidRPr="00413148" w:rsidRDefault="00960404" w:rsidP="006753F8">
      <w:pPr>
        <w:ind w:left="1440"/>
        <w:rPr>
          <w:rFonts w:eastAsia="Calibri"/>
        </w:rPr>
      </w:pPr>
    </w:p>
    <w:p w14:paraId="1350176F" w14:textId="77777777" w:rsidR="000A5ADE" w:rsidRPr="00413148" w:rsidRDefault="000A5ADE" w:rsidP="00077804">
      <w:pPr>
        <w:pStyle w:val="Heading3"/>
        <w:numPr>
          <w:ilvl w:val="0"/>
          <w:numId w:val="62"/>
        </w:numPr>
        <w:rPr>
          <w:color w:val="4B0082"/>
        </w:rPr>
      </w:pPr>
      <w:r w:rsidRPr="00413148">
        <w:rPr>
          <w:b/>
          <w:bCs/>
          <w:color w:val="4B0082"/>
        </w:rPr>
        <w:t>Bias-Based Profiling</w:t>
      </w:r>
    </w:p>
    <w:p w14:paraId="029FC7E2" w14:textId="67C114AD" w:rsidR="00960404" w:rsidRPr="00413148" w:rsidRDefault="00690677" w:rsidP="006753F8">
      <w:pPr>
        <w:ind w:left="1440"/>
      </w:pPr>
      <w:r w:rsidRPr="00413148">
        <w:t>Local l</w:t>
      </w:r>
      <w:r w:rsidR="00237BA2" w:rsidRPr="00413148">
        <w:t xml:space="preserve">aw </w:t>
      </w:r>
      <w:r w:rsidR="1EE20823" w:rsidRPr="00413148">
        <w:t xml:space="preserve">prohibits law </w:t>
      </w:r>
      <w:r w:rsidR="00237BA2" w:rsidRPr="00413148">
        <w:t>enforcement office</w:t>
      </w:r>
      <w:r w:rsidR="0022541E" w:rsidRPr="00413148">
        <w:t>rs</w:t>
      </w:r>
      <w:r w:rsidR="00224206" w:rsidRPr="00413148">
        <w:t xml:space="preserve"> </w:t>
      </w:r>
      <w:r w:rsidR="401117F8" w:rsidRPr="00413148">
        <w:t xml:space="preserve">from </w:t>
      </w:r>
      <w:r w:rsidR="0091327F" w:rsidRPr="00413148">
        <w:t>“</w:t>
      </w:r>
      <w:proofErr w:type="spellStart"/>
      <w:r w:rsidR="0091327F" w:rsidRPr="00413148">
        <w:t>rel</w:t>
      </w:r>
      <w:proofErr w:type="spellEnd"/>
      <w:r w:rsidR="00574AF1" w:rsidRPr="00413148">
        <w:t>[ying] on actual or pe</w:t>
      </w:r>
      <w:r w:rsidR="7BDE2F38" w:rsidRPr="00413148">
        <w:t>r</w:t>
      </w:r>
      <w:r w:rsidR="00574AF1" w:rsidRPr="00413148">
        <w:t>ceived</w:t>
      </w:r>
      <w:r w:rsidR="44540E61" w:rsidRPr="00413148">
        <w:t xml:space="preserve">” </w:t>
      </w:r>
      <w:r w:rsidR="61B06F59" w:rsidRPr="00413148">
        <w:t>protected categories, including disability,</w:t>
      </w:r>
      <w:r w:rsidR="44540E61" w:rsidRPr="00413148">
        <w:t xml:space="preserve"> </w:t>
      </w:r>
      <w:r w:rsidR="5AD30D71" w:rsidRPr="00413148">
        <w:t xml:space="preserve">as </w:t>
      </w:r>
      <w:r w:rsidR="44540E61" w:rsidRPr="00413148">
        <w:t xml:space="preserve">“the determinative factor in initiating </w:t>
      </w:r>
      <w:r w:rsidR="17E7C499" w:rsidRPr="00413148">
        <w:t xml:space="preserve">law enforcement </w:t>
      </w:r>
      <w:r w:rsidR="44540E61" w:rsidRPr="00413148">
        <w:t>action against an individual</w:t>
      </w:r>
      <w:r w:rsidR="58A11B6F" w:rsidRPr="00413148">
        <w:t>”</w:t>
      </w:r>
      <w:r w:rsidR="7BAEA807" w:rsidRPr="00413148">
        <w:t xml:space="preserve"> in order to ensure that decision-making</w:t>
      </w:r>
      <w:r w:rsidR="00C92B7B" w:rsidRPr="00413148">
        <w:t xml:space="preserve"> </w:t>
      </w:r>
      <w:r w:rsidR="1D0F628E" w:rsidRPr="00413148">
        <w:t>is based on specific behavior or circumstances linked to suspected illegal behavior.</w:t>
      </w:r>
      <w:r w:rsidR="00224206" w:rsidRPr="00413148">
        <w:rPr>
          <w:rStyle w:val="FootnoteReference"/>
        </w:rPr>
        <w:footnoteReference w:id="27"/>
      </w:r>
      <w:r w:rsidR="008B5340" w:rsidRPr="00413148">
        <w:t xml:space="preserve"> </w:t>
      </w:r>
      <w:r w:rsidR="00880E54" w:rsidRPr="00413148">
        <w:t>Potential r</w:t>
      </w:r>
      <w:r w:rsidR="002E76CE" w:rsidRPr="00413148">
        <w:t>emedie</w:t>
      </w:r>
      <w:r w:rsidR="0097601F" w:rsidRPr="00413148">
        <w:t>s</w:t>
      </w:r>
      <w:r w:rsidR="002E76CE" w:rsidRPr="00413148">
        <w:t xml:space="preserve"> for </w:t>
      </w:r>
      <w:r w:rsidR="2522B6C7" w:rsidRPr="00413148">
        <w:t>bias-based profiling</w:t>
      </w:r>
      <w:r w:rsidR="00447D5C" w:rsidRPr="00413148">
        <w:t xml:space="preserve"> claims</w:t>
      </w:r>
      <w:r w:rsidR="00254CE5" w:rsidRPr="00413148">
        <w:t xml:space="preserve"> </w:t>
      </w:r>
      <w:r w:rsidR="00224206" w:rsidRPr="00413148">
        <w:t>are limited to injunctive and declaratory relief.</w:t>
      </w:r>
      <w:r w:rsidR="009A324E" w:rsidRPr="00413148">
        <w:rPr>
          <w:rStyle w:val="FootnoteReference"/>
        </w:rPr>
        <w:footnoteReference w:id="28"/>
      </w:r>
      <w:r w:rsidR="00224206" w:rsidRPr="00413148">
        <w:t xml:space="preserve"> </w:t>
      </w:r>
    </w:p>
    <w:p w14:paraId="46C3E951" w14:textId="77777777" w:rsidR="00470A53" w:rsidRPr="00413148" w:rsidRDefault="00470A53" w:rsidP="006753F8">
      <w:pPr>
        <w:pStyle w:val="ListParagraph"/>
      </w:pPr>
    </w:p>
    <w:p w14:paraId="64DA9574" w14:textId="2306D1AE" w:rsidR="004679A0" w:rsidRPr="00C82998" w:rsidRDefault="004679A0" w:rsidP="00876643">
      <w:pPr>
        <w:pStyle w:val="Heading2"/>
        <w:numPr>
          <w:ilvl w:val="0"/>
          <w:numId w:val="60"/>
        </w:numPr>
        <w:rPr>
          <w:b/>
          <w:bCs/>
          <w:color w:val="4B0082"/>
          <w:sz w:val="36"/>
          <w:szCs w:val="36"/>
        </w:rPr>
      </w:pPr>
      <w:bookmarkStart w:id="5" w:name="_Toc218083733"/>
      <w:r w:rsidRPr="00C82998">
        <w:rPr>
          <w:rFonts w:cs="Arial"/>
          <w:b/>
          <w:bCs/>
          <w:color w:val="4B0082"/>
          <w:sz w:val="36"/>
          <w:szCs w:val="36"/>
        </w:rPr>
        <w:t>Covered Entities</w:t>
      </w:r>
      <w:bookmarkEnd w:id="5"/>
    </w:p>
    <w:p w14:paraId="29996A3C" w14:textId="77777777" w:rsidR="00EA4ED8" w:rsidRPr="00413148" w:rsidRDefault="00EA4ED8" w:rsidP="00E1149A"/>
    <w:p w14:paraId="30A4697E" w14:textId="0C22AED2" w:rsidR="0033099B" w:rsidRPr="00413148" w:rsidRDefault="00371378" w:rsidP="00515EBD">
      <w:r w:rsidRPr="00413148">
        <w:t xml:space="preserve">Employers, places and providers of public accommodations, and housing providers are required to abide by the obligations set forth in </w:t>
      </w:r>
      <w:r w:rsidRPr="00413148">
        <w:lastRenderedPageBreak/>
        <w:t>the N</w:t>
      </w:r>
      <w:r w:rsidR="00753276" w:rsidRPr="00413148">
        <w:t>YCHRL</w:t>
      </w:r>
      <w:r w:rsidRPr="00413148">
        <w:t xml:space="preserve"> unless they </w:t>
      </w:r>
      <w:r w:rsidR="009D0464" w:rsidRPr="00413148">
        <w:t xml:space="preserve">fall within a small number of specified exemptions. </w:t>
      </w:r>
      <w:r w:rsidR="00827F73" w:rsidRPr="00413148">
        <w:t xml:space="preserve">The phrase </w:t>
      </w:r>
      <w:r w:rsidR="7A5D7D2C" w:rsidRPr="00413148">
        <w:t>“</w:t>
      </w:r>
      <w:r w:rsidR="00827F73" w:rsidRPr="00413148">
        <w:t>covered entity(</w:t>
      </w:r>
      <w:proofErr w:type="spellStart"/>
      <w:r w:rsidR="00827F73" w:rsidRPr="00413148">
        <w:t>ies</w:t>
      </w:r>
      <w:proofErr w:type="spellEnd"/>
      <w:r w:rsidR="00827F73" w:rsidRPr="00413148">
        <w:t>)</w:t>
      </w:r>
      <w:r w:rsidR="3213AA7D" w:rsidRPr="00413148">
        <w:t>”</w:t>
      </w:r>
      <w:r w:rsidR="00827F73" w:rsidRPr="00413148">
        <w:t xml:space="preserve"> </w:t>
      </w:r>
      <w:r w:rsidR="360EF709" w:rsidRPr="00413148">
        <w:t>refers to all entities with obligations</w:t>
      </w:r>
      <w:r w:rsidR="007655E5" w:rsidRPr="00413148">
        <w:t>,</w:t>
      </w:r>
      <w:r w:rsidR="360EF709" w:rsidRPr="00413148">
        <w:t xml:space="preserve"> and</w:t>
      </w:r>
      <w:r w:rsidR="2287E961" w:rsidRPr="00413148">
        <w:t xml:space="preserve"> </w:t>
      </w:r>
      <w:r w:rsidR="6C652BB3" w:rsidRPr="00413148">
        <w:t>“covered</w:t>
      </w:r>
      <w:r w:rsidR="00827F73" w:rsidRPr="00413148">
        <w:t xml:space="preserve"> </w:t>
      </w:r>
      <w:r w:rsidR="002E2A02" w:rsidRPr="00413148">
        <w:t>employers</w:t>
      </w:r>
      <w:r w:rsidR="007655E5" w:rsidRPr="00413148">
        <w:t>,</w:t>
      </w:r>
      <w:r w:rsidR="6C589938" w:rsidRPr="00413148">
        <w:t>”</w:t>
      </w:r>
      <w:r w:rsidR="007655E5" w:rsidRPr="00413148">
        <w:t xml:space="preserve"> </w:t>
      </w:r>
      <w:r w:rsidR="5013348C" w:rsidRPr="00413148">
        <w:t>“covered</w:t>
      </w:r>
      <w:r w:rsidR="002E2A02" w:rsidRPr="00413148">
        <w:t xml:space="preserve"> places and providers of public accommodations</w:t>
      </w:r>
      <w:r w:rsidR="095E36EE" w:rsidRPr="00413148">
        <w:t>,</w:t>
      </w:r>
      <w:r w:rsidR="1EE1DFF6" w:rsidRPr="00413148">
        <w:t>”</w:t>
      </w:r>
      <w:r w:rsidR="002E2A02" w:rsidRPr="00413148">
        <w:t xml:space="preserve"> and </w:t>
      </w:r>
      <w:r w:rsidR="0DCBF48B" w:rsidRPr="00413148">
        <w:t xml:space="preserve">“covered </w:t>
      </w:r>
      <w:r w:rsidR="002E2A02" w:rsidRPr="00413148">
        <w:t>housing provide</w:t>
      </w:r>
      <w:r w:rsidR="42134DAE" w:rsidRPr="00413148">
        <w:t>r</w:t>
      </w:r>
      <w:r w:rsidR="002E2A02" w:rsidRPr="00413148">
        <w:t>s</w:t>
      </w:r>
      <w:r w:rsidR="0EDD4B8E" w:rsidRPr="00413148">
        <w:t>”</w:t>
      </w:r>
      <w:r w:rsidR="002E2A02" w:rsidRPr="00413148">
        <w:t xml:space="preserve"> </w:t>
      </w:r>
      <w:r w:rsidR="402FB18D" w:rsidRPr="00413148">
        <w:t xml:space="preserve">refer to entities with </w:t>
      </w:r>
      <w:r w:rsidR="00F4386B" w:rsidRPr="00413148">
        <w:t xml:space="preserve">obligations under the </w:t>
      </w:r>
      <w:r w:rsidR="402FB18D" w:rsidRPr="00413148">
        <w:t>NYCHRL in a particular area of jurisdiction</w:t>
      </w:r>
      <w:r w:rsidR="002E2A02" w:rsidRPr="00413148">
        <w:t>.</w:t>
      </w:r>
      <w:r w:rsidR="00DC18E7" w:rsidRPr="00413148">
        <w:rPr>
          <w:rStyle w:val="FootnoteReference"/>
        </w:rPr>
        <w:footnoteReference w:id="29"/>
      </w:r>
      <w:r w:rsidR="002E2A02" w:rsidRPr="00413148">
        <w:t xml:space="preserve"> </w:t>
      </w:r>
    </w:p>
    <w:p w14:paraId="2E6FE542" w14:textId="77777777" w:rsidR="00515EBD" w:rsidRPr="00413148" w:rsidRDefault="00515EBD" w:rsidP="00515EBD"/>
    <w:p w14:paraId="15BAF0B1" w14:textId="5BF9F348" w:rsidR="00515EBD" w:rsidRPr="00413148" w:rsidRDefault="00515EBD" w:rsidP="00515EBD">
      <w:r w:rsidRPr="00413148">
        <w:t xml:space="preserve">Part I of this guidance focuses on </w:t>
      </w:r>
      <w:r w:rsidR="0058416D" w:rsidRPr="00413148">
        <w:t xml:space="preserve">City </w:t>
      </w:r>
      <w:r w:rsidRPr="00413148">
        <w:t xml:space="preserve">Human Rights Law provisions related to claims of disability discrimination based on differential treatment and disparate impact, as well as the cooperative dialogue </w:t>
      </w:r>
      <w:r w:rsidR="00375AE8" w:rsidRPr="00413148">
        <w:t xml:space="preserve">process </w:t>
      </w:r>
      <w:r w:rsidRPr="00413148">
        <w:t>and reasonable accommodations. Part II gives an overview of the potential claims and protections in each of the main NYCHRL jurisdictions: employment, housing, and public accommodations.</w:t>
      </w:r>
      <w:r w:rsidRPr="00413148" w:rsidDel="00B60062">
        <w:t xml:space="preserve"> </w:t>
      </w:r>
      <w:r w:rsidRPr="00413148">
        <w:t>Part III focuses on additional NYCHRL disability protections, including retaliation,</w:t>
      </w:r>
      <w:r w:rsidRPr="00413148">
        <w:rPr>
          <w:rStyle w:val="FootnoteReference"/>
        </w:rPr>
        <w:footnoteReference w:id="30"/>
      </w:r>
      <w:r w:rsidRPr="00413148">
        <w:t xml:space="preserve"> associational discrimination,</w:t>
      </w:r>
      <w:r w:rsidRPr="00413148">
        <w:rPr>
          <w:rStyle w:val="FootnoteReference"/>
        </w:rPr>
        <w:footnoteReference w:id="31"/>
      </w:r>
      <w:r w:rsidRPr="00413148">
        <w:t xml:space="preserve"> and discriminatory harassment.</w:t>
      </w:r>
      <w:r w:rsidRPr="00413148">
        <w:rPr>
          <w:rStyle w:val="FootnoteReference"/>
        </w:rPr>
        <w:footnoteReference w:id="32"/>
      </w:r>
      <w:r w:rsidRPr="00413148">
        <w:t xml:space="preserve"> Part IV explains how the NYCHRL is enforced and explains how individuals can contact the New York City Commission on Human Rights.</w:t>
      </w:r>
    </w:p>
    <w:p w14:paraId="3FB0765D" w14:textId="77777777" w:rsidR="00515EBD" w:rsidRPr="00413148" w:rsidRDefault="00515EBD" w:rsidP="00515EBD"/>
    <w:p w14:paraId="421E02C0" w14:textId="502633A4" w:rsidR="00515EBD" w:rsidRDefault="00515EBD" w:rsidP="00720453">
      <w:r w:rsidRPr="00413148">
        <w:t>This document does not constitute, and is not intended to serve as, an exhaustive list of all forms of disability-related discrimination claims under the NYCHRL.</w:t>
      </w:r>
    </w:p>
    <w:p w14:paraId="66C378E9" w14:textId="77777777" w:rsidR="00FC31A7" w:rsidRDefault="00FC31A7" w:rsidP="00720453"/>
    <w:p w14:paraId="1CB95A9F" w14:textId="77777777" w:rsidR="00FC31A7" w:rsidRDefault="00FC31A7" w:rsidP="00720453"/>
    <w:p w14:paraId="6FC31ACB" w14:textId="77777777" w:rsidR="00FC31A7" w:rsidRDefault="00FC31A7" w:rsidP="00720453"/>
    <w:p w14:paraId="1A51DB03" w14:textId="77777777" w:rsidR="00FC31A7" w:rsidRPr="00413148" w:rsidRDefault="00FC31A7" w:rsidP="00720453"/>
    <w:p w14:paraId="0C247799" w14:textId="77777777" w:rsidR="002B563B" w:rsidRPr="00413148" w:rsidRDefault="002B563B" w:rsidP="00720453"/>
    <w:p w14:paraId="145C66A1" w14:textId="77777777" w:rsidR="00470A53" w:rsidRDefault="00470A53" w:rsidP="00E1149A">
      <w:pPr>
        <w:pStyle w:val="Heading1"/>
        <w:spacing w:before="0" w:after="0"/>
        <w:rPr>
          <w:rFonts w:ascii="Arial" w:hAnsi="Arial" w:cs="Arial"/>
          <w:b/>
          <w:bCs/>
          <w:color w:val="4B0082"/>
          <w:sz w:val="44"/>
          <w:szCs w:val="44"/>
        </w:rPr>
      </w:pPr>
      <w:bookmarkStart w:id="6" w:name="_Toc218083734"/>
      <w:r w:rsidRPr="00413148">
        <w:rPr>
          <w:rFonts w:ascii="Arial" w:hAnsi="Arial" w:cs="Arial"/>
          <w:b/>
          <w:bCs/>
          <w:color w:val="4B0082"/>
          <w:sz w:val="44"/>
          <w:szCs w:val="44"/>
        </w:rPr>
        <w:lastRenderedPageBreak/>
        <w:t>PART I</w:t>
      </w:r>
      <w:r w:rsidR="00ED1272" w:rsidRPr="00413148">
        <w:rPr>
          <w:rFonts w:ascii="Arial" w:hAnsi="Arial" w:cs="Arial"/>
          <w:b/>
          <w:bCs/>
          <w:color w:val="4B0082"/>
          <w:sz w:val="44"/>
          <w:szCs w:val="44"/>
        </w:rPr>
        <w:t>: Overview of Disability Discrimination that Violates the NYCHRL</w:t>
      </w:r>
      <w:bookmarkEnd w:id="6"/>
    </w:p>
    <w:p w14:paraId="394BA646" w14:textId="77777777" w:rsidR="00432680" w:rsidRPr="00432680" w:rsidRDefault="00432680" w:rsidP="00432680">
      <w:pPr>
        <w:rPr>
          <w:highlight w:val="green"/>
        </w:rPr>
      </w:pPr>
    </w:p>
    <w:p w14:paraId="37D9F107" w14:textId="3F1976E7" w:rsidR="00470A53" w:rsidRPr="00413148" w:rsidRDefault="00470A53" w:rsidP="00113630">
      <w:pPr>
        <w:pStyle w:val="Heading2"/>
        <w:numPr>
          <w:ilvl w:val="0"/>
          <w:numId w:val="19"/>
        </w:numPr>
        <w:spacing w:before="0" w:after="0"/>
        <w:ind w:left="450" w:hanging="450"/>
        <w:rPr>
          <w:rFonts w:ascii="Arial" w:hAnsi="Arial" w:cs="Arial"/>
          <w:b/>
          <w:color w:val="4B0082"/>
          <w:sz w:val="36"/>
          <w:szCs w:val="36"/>
        </w:rPr>
      </w:pPr>
      <w:bookmarkStart w:id="7" w:name="_Toc517276507"/>
      <w:bookmarkStart w:id="8" w:name="_Toc218083735"/>
      <w:r w:rsidRPr="00413148">
        <w:rPr>
          <w:rFonts w:ascii="Arial" w:hAnsi="Arial" w:cs="Arial"/>
          <w:b/>
          <w:color w:val="4B0082"/>
          <w:sz w:val="36"/>
          <w:szCs w:val="36"/>
        </w:rPr>
        <w:t>Disparate Treatment</w:t>
      </w:r>
      <w:bookmarkEnd w:id="7"/>
      <w:bookmarkEnd w:id="8"/>
    </w:p>
    <w:p w14:paraId="4352A86C" w14:textId="77777777" w:rsidR="0045369C" w:rsidRPr="00413148" w:rsidRDefault="0045369C" w:rsidP="0045369C"/>
    <w:p w14:paraId="3F005868" w14:textId="77777777" w:rsidR="00470A53" w:rsidRPr="007C1721" w:rsidRDefault="00470A53" w:rsidP="00C9563D">
      <w:pPr>
        <w:pStyle w:val="Heading3"/>
        <w:numPr>
          <w:ilvl w:val="0"/>
          <w:numId w:val="57"/>
        </w:numPr>
        <w:spacing w:before="0" w:after="0"/>
        <w:rPr>
          <w:b/>
          <w:color w:val="4B0082"/>
          <w:sz w:val="32"/>
          <w:szCs w:val="32"/>
        </w:rPr>
      </w:pPr>
      <w:bookmarkStart w:id="9" w:name="_Toc218083736"/>
      <w:r w:rsidRPr="007C1721">
        <w:rPr>
          <w:b/>
          <w:color w:val="4B0082"/>
          <w:sz w:val="32"/>
          <w:szCs w:val="32"/>
        </w:rPr>
        <w:t>Treating People Less Well Because of Disability</w:t>
      </w:r>
      <w:bookmarkEnd w:id="9"/>
    </w:p>
    <w:p w14:paraId="0784F01E" w14:textId="77777777" w:rsidR="002B563B" w:rsidRPr="00413148" w:rsidRDefault="002B563B" w:rsidP="002B563B"/>
    <w:p w14:paraId="0B4C76D6" w14:textId="77777777" w:rsidR="00470A53" w:rsidRPr="00413148" w:rsidRDefault="00470A53" w:rsidP="00C11129">
      <w:pPr>
        <w:rPr>
          <w:rFonts w:eastAsia="Calibri"/>
        </w:rPr>
      </w:pPr>
      <w:r w:rsidRPr="00413148">
        <w:t>Disparate treatment occurs when a covered entity treats an individual less favorably than others because of a protected characteristic.</w:t>
      </w:r>
      <w:r w:rsidRPr="00413148">
        <w:rPr>
          <w:rStyle w:val="FootnoteReference"/>
        </w:rPr>
        <w:footnoteReference w:id="33"/>
      </w:r>
      <w:r w:rsidRPr="00413148">
        <w:t xml:space="preserve"> Treating an individual less well than others because of </w:t>
      </w:r>
      <w:r w:rsidR="00E41889" w:rsidRPr="00413148">
        <w:t>any</w:t>
      </w:r>
      <w:r w:rsidRPr="00413148">
        <w:t xml:space="preserve"> </w:t>
      </w:r>
      <w:r w:rsidR="00182AD3" w:rsidRPr="00413148">
        <w:t xml:space="preserve">actual or perceived </w:t>
      </w:r>
      <w:r w:rsidRPr="00413148">
        <w:t>disability in public accommodations, housing, and employment violates the NYCHRL.</w:t>
      </w:r>
      <w:r w:rsidRPr="00413148">
        <w:rPr>
          <w:rStyle w:val="FootnoteReference"/>
        </w:rPr>
        <w:footnoteReference w:id="34"/>
      </w:r>
      <w:r w:rsidRPr="00413148">
        <w:t xml:space="preserve"> </w:t>
      </w:r>
    </w:p>
    <w:p w14:paraId="0F77962F" w14:textId="77777777" w:rsidR="00470A53" w:rsidRPr="00413148" w:rsidRDefault="00470A53" w:rsidP="00C11129"/>
    <w:p w14:paraId="469C323A" w14:textId="49F8369B" w:rsidR="007965A3" w:rsidRPr="00413148" w:rsidRDefault="00470A53" w:rsidP="007965A3">
      <w:r w:rsidRPr="00413148">
        <w:t>Adverse treatment may be overt, such as refusing to serve an individual with a service animal; refusing to accept a rental application for an apartment because the applicant has a disability; deciding not to hire an applicant because of their disability; or firing an employee because of their disability.</w:t>
      </w:r>
    </w:p>
    <w:p w14:paraId="6EA9FBB3" w14:textId="77777777" w:rsidR="002B563B" w:rsidRPr="00413148" w:rsidRDefault="002B563B" w:rsidP="007965A3"/>
    <w:p w14:paraId="0450A87E" w14:textId="08C3478A" w:rsidR="00470A53" w:rsidRPr="00413148" w:rsidRDefault="38BA6A91" w:rsidP="00C11129">
      <w:pPr>
        <w:spacing w:line="259" w:lineRule="auto"/>
      </w:pPr>
      <w:r w:rsidRPr="00413148">
        <w:t xml:space="preserve">Discriminatory conduct on the basis of disability often </w:t>
      </w:r>
      <w:r w:rsidR="3BB6FD3F" w:rsidRPr="00413148">
        <w:t xml:space="preserve">also </w:t>
      </w:r>
      <w:r w:rsidRPr="00413148">
        <w:t>occurs in more indirect ways.</w:t>
      </w:r>
      <w:r w:rsidR="39D65987" w:rsidRPr="00413148">
        <w:t xml:space="preserve"> </w:t>
      </w:r>
      <w:r w:rsidR="00547458" w:rsidRPr="00413148">
        <w:t>T</w:t>
      </w:r>
      <w:r w:rsidR="00C43A0C" w:rsidRPr="00413148">
        <w:t>reating</w:t>
      </w:r>
      <w:r w:rsidRPr="00413148">
        <w:t xml:space="preserve"> an employee different</w:t>
      </w:r>
      <w:r w:rsidR="00C43A0C" w:rsidRPr="00413148">
        <w:t>ly</w:t>
      </w:r>
      <w:r w:rsidRPr="00413148">
        <w:t xml:space="preserve"> because of their disability, or making decisions in hiring, assignments, or promotions based on assumptions about what an applicant or employee with a disability can or cannot do </w:t>
      </w:r>
      <w:r w:rsidR="78FD7716" w:rsidRPr="00413148">
        <w:t>are all examples of</w:t>
      </w:r>
      <w:r w:rsidRPr="00413148">
        <w:t xml:space="preserve"> unlawful disability-based discrimination under the NYCHRL. </w:t>
      </w:r>
      <w:r w:rsidR="2EB22ABC" w:rsidRPr="00413148">
        <w:t>N</w:t>
      </w:r>
      <w:r w:rsidRPr="00413148">
        <w:t xml:space="preserve">ot making repairs to a unit </w:t>
      </w:r>
      <w:r w:rsidR="13DB9E5E" w:rsidRPr="00413148">
        <w:t>because of a</w:t>
      </w:r>
      <w:r w:rsidRPr="00413148">
        <w:t xml:space="preserve"> tenant</w:t>
      </w:r>
      <w:r w:rsidR="04995F5D" w:rsidRPr="00413148">
        <w:t>’s</w:t>
      </w:r>
      <w:r w:rsidRPr="00413148">
        <w:t xml:space="preserve"> </w:t>
      </w:r>
      <w:r w:rsidR="1F41ABFA" w:rsidRPr="00413148">
        <w:t>actual or perceived</w:t>
      </w:r>
      <w:r w:rsidRPr="00413148">
        <w:t xml:space="preserve"> disability</w:t>
      </w:r>
      <w:r w:rsidR="2EB22ABC" w:rsidRPr="00413148">
        <w:t xml:space="preserve"> is also</w:t>
      </w:r>
      <w:r w:rsidRPr="00413148">
        <w:t xml:space="preserve"> a </w:t>
      </w:r>
      <w:r w:rsidR="2EB22ABC" w:rsidRPr="00413148">
        <w:t>violation of the NYCHRL</w:t>
      </w:r>
      <w:r w:rsidR="494E5213" w:rsidRPr="00413148">
        <w:t xml:space="preserve">. </w:t>
      </w:r>
      <w:r w:rsidR="1E3A6525" w:rsidRPr="00413148">
        <w:t>Refusing to rent a second</w:t>
      </w:r>
      <w:r w:rsidR="626BFA67" w:rsidRPr="00413148">
        <w:t>-</w:t>
      </w:r>
      <w:r w:rsidR="1E3A6525" w:rsidRPr="00413148">
        <w:t xml:space="preserve">floor walk-up apartment to a person </w:t>
      </w:r>
      <w:r w:rsidR="09EE325D" w:rsidRPr="00413148">
        <w:t>who relies on a cane</w:t>
      </w:r>
      <w:r w:rsidR="69352FC3" w:rsidRPr="00413148">
        <w:t xml:space="preserve"> is a violation of the NYCHRL. </w:t>
      </w:r>
      <w:r w:rsidRPr="00413148">
        <w:t xml:space="preserve">Failing to </w:t>
      </w:r>
      <w:r w:rsidR="259DA29A" w:rsidRPr="00413148">
        <w:lastRenderedPageBreak/>
        <w:t xml:space="preserve">serve an individual </w:t>
      </w:r>
      <w:r w:rsidR="00EA292D" w:rsidRPr="00413148">
        <w:t>who uses</w:t>
      </w:r>
      <w:r w:rsidR="259DA29A" w:rsidRPr="00413148">
        <w:t xml:space="preserve"> </w:t>
      </w:r>
      <w:r w:rsidR="79684F12" w:rsidRPr="00413148">
        <w:t>a wheelchair in a restaurant</w:t>
      </w:r>
      <w:r w:rsidR="2C7B051D" w:rsidRPr="00413148">
        <w:t xml:space="preserve"> </w:t>
      </w:r>
      <w:r w:rsidR="3D19D200" w:rsidRPr="00413148">
        <w:t xml:space="preserve">or theater may also violate the NYCHRL because it denies a </w:t>
      </w:r>
      <w:r w:rsidRPr="00413148">
        <w:t>patron</w:t>
      </w:r>
      <w:r w:rsidR="2C7B051D" w:rsidRPr="00413148">
        <w:t xml:space="preserve"> </w:t>
      </w:r>
      <w:r w:rsidR="2D333748" w:rsidRPr="00413148">
        <w:t xml:space="preserve">the full and equal </w:t>
      </w:r>
      <w:r w:rsidR="7B5951C5" w:rsidRPr="00413148">
        <w:t>enjoy</w:t>
      </w:r>
      <w:r w:rsidR="173C18DB" w:rsidRPr="00413148">
        <w:t>ment of</w:t>
      </w:r>
      <w:r w:rsidRPr="00413148">
        <w:t xml:space="preserve"> the premises </w:t>
      </w:r>
      <w:r w:rsidR="68182AD4" w:rsidRPr="00413148">
        <w:t xml:space="preserve">that </w:t>
      </w:r>
      <w:r w:rsidR="00EF6D83" w:rsidRPr="00413148">
        <w:t>other patrons experience.</w:t>
      </w:r>
    </w:p>
    <w:p w14:paraId="255C9515" w14:textId="77777777" w:rsidR="003715E0" w:rsidRPr="00413148" w:rsidRDefault="003715E0" w:rsidP="00C11129">
      <w:pPr>
        <w:spacing w:line="259" w:lineRule="auto"/>
      </w:pPr>
    </w:p>
    <w:p w14:paraId="6BD02004" w14:textId="77777777" w:rsidR="00470A53" w:rsidRPr="00413148" w:rsidRDefault="004C51BE" w:rsidP="00C11129">
      <w:pPr>
        <w:spacing w:line="259" w:lineRule="auto"/>
      </w:pPr>
      <w:r w:rsidRPr="00413148">
        <w:t>These</w:t>
      </w:r>
      <w:r w:rsidR="00470A53" w:rsidRPr="00413148">
        <w:t xml:space="preserve"> forms of discrimination are actionable under the NYCHRL because they subject individuals with disabilities to worse treatment than someone without a disability. </w:t>
      </w:r>
      <w:r w:rsidRPr="00413148">
        <w:t>Such</w:t>
      </w:r>
      <w:r w:rsidR="00470A53" w:rsidRPr="00413148">
        <w:t xml:space="preserve"> actions contribute to the exclusion of individuals with disabilities from jobs, housing, and places of public accommodation, and violate the NYCHRL.</w:t>
      </w:r>
    </w:p>
    <w:p w14:paraId="2A692E0B" w14:textId="77777777" w:rsidR="00470A53" w:rsidRPr="00413148" w:rsidRDefault="00470A53" w:rsidP="00C11129"/>
    <w:p w14:paraId="201827C0" w14:textId="2D2490E5" w:rsidR="00470A53" w:rsidRPr="00413148" w:rsidRDefault="00470A53" w:rsidP="00C11129">
      <w:r w:rsidRPr="00413148">
        <w:t>The NYCHRL exp</w:t>
      </w:r>
      <w:r w:rsidR="008463B2" w:rsidRPr="00413148">
        <w:t>licit</w:t>
      </w:r>
      <w:r w:rsidRPr="00413148">
        <w:t xml:space="preserve">ly prohibits </w:t>
      </w:r>
      <w:r w:rsidR="3230F9F4" w:rsidRPr="00413148">
        <w:t>statements or inquiries that express, directly or indirectly, any limitation, specification, or discrimination against an individual with a disability.</w:t>
      </w:r>
    </w:p>
    <w:p w14:paraId="59952ABA" w14:textId="77777777" w:rsidR="0045369C" w:rsidRPr="00413148" w:rsidRDefault="0045369C" w:rsidP="00C11129"/>
    <w:p w14:paraId="59B9BCBA" w14:textId="77777777" w:rsidR="00470A53" w:rsidRPr="00413148" w:rsidRDefault="3230F9F4" w:rsidP="00113630">
      <w:pPr>
        <w:pStyle w:val="ListParagraph"/>
        <w:numPr>
          <w:ilvl w:val="0"/>
          <w:numId w:val="29"/>
        </w:numPr>
      </w:pPr>
      <w:r w:rsidRPr="00413148">
        <w:t>H</w:t>
      </w:r>
      <w:r w:rsidR="00470A53" w:rsidRPr="00413148">
        <w:t xml:space="preserve">ousing providers </w:t>
      </w:r>
      <w:r w:rsidR="1819106F" w:rsidRPr="00413148">
        <w:t xml:space="preserve">cannot </w:t>
      </w:r>
      <w:r w:rsidR="5F329168" w:rsidRPr="00413148">
        <w:t>express such limits in</w:t>
      </w:r>
      <w:r w:rsidR="00470A53" w:rsidRPr="00413148">
        <w:t xml:space="preserve"> inquiries in connection with the prospective purchase, rental, or lease of a housing accommodation</w:t>
      </w:r>
      <w:r w:rsidR="00867E4F" w:rsidRPr="00413148">
        <w:t>.</w:t>
      </w:r>
      <w:r w:rsidR="00470A53" w:rsidRPr="00413148">
        <w:t xml:space="preserve"> </w:t>
      </w:r>
    </w:p>
    <w:p w14:paraId="458A0C74" w14:textId="77777777" w:rsidR="00470A53" w:rsidRPr="00413148" w:rsidRDefault="083D6E3A" w:rsidP="00113630">
      <w:pPr>
        <w:pStyle w:val="ListParagraph"/>
        <w:numPr>
          <w:ilvl w:val="0"/>
          <w:numId w:val="29"/>
        </w:numPr>
      </w:pPr>
      <w:r w:rsidRPr="00413148">
        <w:t xml:space="preserve">Employers cannot </w:t>
      </w:r>
      <w:r w:rsidR="00470A53" w:rsidRPr="00413148">
        <w:t>express</w:t>
      </w:r>
      <w:r w:rsidR="58F7B160" w:rsidRPr="00413148">
        <w:t xml:space="preserve"> such limits in inquiries in connection with prospective employment.</w:t>
      </w:r>
      <w:r w:rsidR="00470A53" w:rsidRPr="00413148">
        <w:t xml:space="preserve"> </w:t>
      </w:r>
    </w:p>
    <w:p w14:paraId="1B397CC6" w14:textId="70121FA9" w:rsidR="00EB0AA0" w:rsidRPr="00413148" w:rsidRDefault="50B532F0" w:rsidP="00113630">
      <w:pPr>
        <w:pStyle w:val="ListParagraph"/>
        <w:numPr>
          <w:ilvl w:val="0"/>
          <w:numId w:val="29"/>
        </w:numPr>
        <w:spacing w:after="160" w:line="259" w:lineRule="auto"/>
      </w:pPr>
      <w:r w:rsidRPr="00413148">
        <w:t>P</w:t>
      </w:r>
      <w:r w:rsidR="00470A53" w:rsidRPr="00413148">
        <w:t xml:space="preserve">ublic accommodations that have applications or interviews for their programs, such as some drug treatment programs or schools, after-school programs, </w:t>
      </w:r>
      <w:r w:rsidR="0097393C" w:rsidRPr="00413148">
        <w:t xml:space="preserve">and </w:t>
      </w:r>
      <w:r w:rsidR="00470A53" w:rsidRPr="00413148">
        <w:t xml:space="preserve">some clubs, </w:t>
      </w:r>
      <w:r w:rsidR="371CC57D" w:rsidRPr="00413148">
        <w:t xml:space="preserve">are prohibited </w:t>
      </w:r>
      <w:r w:rsidR="00470A53" w:rsidRPr="00413148">
        <w:t>from communicating that applicants with disabilities are unwelcome, undesired, or unacceptable</w:t>
      </w:r>
      <w:r w:rsidR="00E46912" w:rsidRPr="00413148">
        <w:t xml:space="preserve"> or </w:t>
      </w:r>
      <w:r w:rsidR="004B0EB8" w:rsidRPr="00413148">
        <w:t xml:space="preserve">from </w:t>
      </w:r>
      <w:r w:rsidR="002436A7" w:rsidRPr="00413148">
        <w:t xml:space="preserve">other </w:t>
      </w:r>
      <w:r w:rsidR="004B0EB8" w:rsidRPr="00413148">
        <w:t>actions</w:t>
      </w:r>
      <w:r w:rsidR="002436A7" w:rsidRPr="00413148">
        <w:t xml:space="preserve"> that</w:t>
      </w:r>
      <w:r w:rsidR="00E81777" w:rsidRPr="00413148">
        <w:t xml:space="preserve"> </w:t>
      </w:r>
      <w:r w:rsidR="001F37DF" w:rsidRPr="00413148">
        <w:t>limit</w:t>
      </w:r>
      <w:r w:rsidR="00E81777" w:rsidRPr="00413148">
        <w:t xml:space="preserve"> availability of their premises or services </w:t>
      </w:r>
      <w:r w:rsidR="001169EE" w:rsidRPr="00413148">
        <w:t>to people on the basis of</w:t>
      </w:r>
      <w:r w:rsidR="00E81777" w:rsidRPr="00413148">
        <w:t xml:space="preserve"> </w:t>
      </w:r>
      <w:r w:rsidR="00296C56" w:rsidRPr="00413148">
        <w:t>an</w:t>
      </w:r>
      <w:r w:rsidR="006E5468" w:rsidRPr="00413148">
        <w:t xml:space="preserve"> actual or perceived disability</w:t>
      </w:r>
      <w:r w:rsidR="00470A53" w:rsidRPr="00413148">
        <w:t xml:space="preserve">. </w:t>
      </w:r>
      <w:bookmarkStart w:id="10" w:name="_Toc517276512"/>
      <w:r w:rsidR="00EB0AA0" w:rsidRPr="00413148">
        <w:br w:type="page"/>
      </w:r>
    </w:p>
    <w:p w14:paraId="1DA9D1B7" w14:textId="4B948184" w:rsidR="00BA2A36" w:rsidRPr="00413148" w:rsidRDefault="00D94EC2" w:rsidP="008A53A4">
      <w:pPr>
        <w:pStyle w:val="Heading3"/>
        <w:numPr>
          <w:ilvl w:val="0"/>
          <w:numId w:val="57"/>
        </w:numPr>
        <w:spacing w:before="0" w:after="0"/>
        <w:rPr>
          <w:b/>
          <w:color w:val="4B0082"/>
          <w:sz w:val="32"/>
          <w:szCs w:val="32"/>
        </w:rPr>
      </w:pPr>
      <w:bookmarkStart w:id="11" w:name="_Toc218083737"/>
      <w:r w:rsidRPr="00413148">
        <w:rPr>
          <w:b/>
          <w:bCs/>
          <w:color w:val="4B0082"/>
          <w:sz w:val="32"/>
          <w:szCs w:val="32"/>
        </w:rPr>
        <w:lastRenderedPageBreak/>
        <w:t>Establishing Disparate Treatment Claims</w:t>
      </w:r>
      <w:bookmarkEnd w:id="11"/>
    </w:p>
    <w:p w14:paraId="7F4D0CFD" w14:textId="77777777" w:rsidR="002B563B" w:rsidRPr="00413148" w:rsidRDefault="002B563B" w:rsidP="00E1149A"/>
    <w:p w14:paraId="16DF0D1C" w14:textId="01D263D8" w:rsidR="00D94EC2" w:rsidRPr="00413148" w:rsidRDefault="00D94EC2" w:rsidP="00C11129">
      <w:r w:rsidRPr="00413148">
        <w:t>To establish a disparate treatment claim under the NYCHRL, an individual must show they were treated less well or subjected to an adverse action that was motivated, at least in part, by discriminatory animus. An individual may demonstrate this through direct evidence of discrimination or indirect evidence that gives rise to an inference of discrimination.</w:t>
      </w:r>
      <w:r w:rsidRPr="00413148">
        <w:rPr>
          <w:rStyle w:val="FootnoteReference"/>
        </w:rPr>
        <w:footnoteReference w:id="35"/>
      </w:r>
      <w:r w:rsidRPr="00413148">
        <w:t xml:space="preserve"> Where a showing of discrimination relies on indirect evidence, the covered entity may put forward a legitimate, non-discriminatory justification for the alleged discriminatory conduct. If the covered entity provides such a non-discriminatory basis, the burden shifts back to the aggrieved individual to show that the proffered non-discriminatory basis was pretextual, false, or misleading, or that discrimination motivated the conduct </w:t>
      </w:r>
      <w:r w:rsidR="00F80AF3" w:rsidRPr="00413148">
        <w:t>at least in part</w:t>
      </w:r>
      <w:r w:rsidRPr="00413148">
        <w:t>.</w:t>
      </w:r>
      <w:r w:rsidRPr="00413148">
        <w:rPr>
          <w:rStyle w:val="FootnoteReference"/>
        </w:rPr>
        <w:footnoteReference w:id="36"/>
      </w:r>
      <w:bookmarkStart w:id="12" w:name="_Hlk503516599"/>
      <w:bookmarkEnd w:id="12"/>
    </w:p>
    <w:p w14:paraId="0606A46C" w14:textId="77777777" w:rsidR="00B10440" w:rsidRPr="00413148" w:rsidRDefault="00B10440" w:rsidP="00E1149A"/>
    <w:p w14:paraId="47DE6E05" w14:textId="77777777" w:rsidR="00470A53" w:rsidRPr="00413148" w:rsidRDefault="00470A53" w:rsidP="008A53A4">
      <w:pPr>
        <w:pStyle w:val="Heading3"/>
        <w:numPr>
          <w:ilvl w:val="0"/>
          <w:numId w:val="57"/>
        </w:numPr>
        <w:spacing w:before="0" w:after="0"/>
        <w:rPr>
          <w:b/>
          <w:color w:val="4B0082"/>
          <w:szCs w:val="32"/>
        </w:rPr>
      </w:pPr>
      <w:bookmarkStart w:id="13" w:name="_Toc218083738"/>
      <w:r w:rsidRPr="00413148">
        <w:rPr>
          <w:b/>
          <w:color w:val="4B0082"/>
          <w:sz w:val="32"/>
          <w:szCs w:val="32"/>
        </w:rPr>
        <w:t>Harassment</w:t>
      </w:r>
      <w:bookmarkEnd w:id="10"/>
      <w:bookmarkEnd w:id="13"/>
    </w:p>
    <w:p w14:paraId="34C7A42B" w14:textId="77777777" w:rsidR="0045369C" w:rsidRPr="00413148" w:rsidRDefault="0045369C" w:rsidP="00E1149A"/>
    <w:p w14:paraId="6FA3E009" w14:textId="77777777" w:rsidR="00104FBF" w:rsidRPr="00413148" w:rsidRDefault="00470A53" w:rsidP="00104FBF">
      <w:r w:rsidRPr="00413148">
        <w:t xml:space="preserve">Disparate treatment can manifest as harassment when the incident or behavior creates an environment or reflects or fosters a culture or atmosphere of stereotyping, degradation, humiliation, bias, or objectification. </w:t>
      </w:r>
      <w:r w:rsidR="00690677" w:rsidRPr="00413148">
        <w:t xml:space="preserve">These are considered hostile environments. </w:t>
      </w:r>
      <w:r w:rsidR="007C3673" w:rsidRPr="00413148">
        <w:t xml:space="preserve">Creating a </w:t>
      </w:r>
      <w:r w:rsidR="007C3673" w:rsidRPr="00413148">
        <w:lastRenderedPageBreak/>
        <w:t xml:space="preserve">hostile environment </w:t>
      </w:r>
      <w:proofErr w:type="gramStart"/>
      <w:r w:rsidR="003A05BC" w:rsidRPr="00413148">
        <w:t>on the basis of</w:t>
      </w:r>
      <w:proofErr w:type="gramEnd"/>
      <w:r w:rsidR="003A05BC" w:rsidRPr="00413148">
        <w:t xml:space="preserve"> disability constitutes a violation of the NYCHRL.</w:t>
      </w:r>
      <w:r w:rsidR="007C3673" w:rsidRPr="00413148">
        <w:t xml:space="preserve"> </w:t>
      </w:r>
      <w:r w:rsidRPr="00413148">
        <w:t xml:space="preserve">Harassment related to an individual’s actual or perceived disability is a form of discrimination, and may consist of a single or isolated incident, or a pattern of repeated acts or behavior. Under the NYCHRL, harassment related to disability covers a broad range of conduct and occurs generally when an individual is treated less well on account of their disability. </w:t>
      </w:r>
      <w:r w:rsidR="00853463" w:rsidRPr="00413148">
        <w:t>Harassment may include comments, gestures, jokes, or pictures that target an individual based on their disability</w:t>
      </w:r>
      <w:r w:rsidR="000D18AB" w:rsidRPr="00413148">
        <w:t xml:space="preserve">, </w:t>
      </w:r>
      <w:r w:rsidR="00947D71" w:rsidRPr="00413148">
        <w:t>or about disabil</w:t>
      </w:r>
      <w:r w:rsidR="0065792B" w:rsidRPr="00413148">
        <w:t>i</w:t>
      </w:r>
      <w:r w:rsidR="00947D71" w:rsidRPr="00413148">
        <w:t>ties more generally</w:t>
      </w:r>
      <w:r w:rsidR="000F7F63" w:rsidRPr="00413148">
        <w:t>.</w:t>
      </w:r>
      <w:r w:rsidR="00853463" w:rsidRPr="00413148">
        <w:t xml:space="preserve"> </w:t>
      </w:r>
      <w:r w:rsidR="009F3F6B" w:rsidRPr="00413148">
        <w:t>H</w:t>
      </w:r>
      <w:r w:rsidR="00853463" w:rsidRPr="00413148">
        <w:t xml:space="preserve">arassment can occur in the context of employment, housing, and public accommodations, such as schools, hospitals, or public transportation. </w:t>
      </w:r>
      <w:r w:rsidRPr="00413148">
        <w:t xml:space="preserve">The severity or pervasiveness of </w:t>
      </w:r>
      <w:proofErr w:type="gramStart"/>
      <w:r w:rsidRPr="00413148">
        <w:t>the harassment</w:t>
      </w:r>
      <w:proofErr w:type="gramEnd"/>
      <w:r w:rsidRPr="00413148">
        <w:t xml:space="preserve"> is only relevant to </w:t>
      </w:r>
      <w:bookmarkStart w:id="14" w:name="_Int_vEUQXp3A"/>
      <w:r w:rsidRPr="00413148">
        <w:t>damages</w:t>
      </w:r>
      <w:bookmarkEnd w:id="14"/>
      <w:r w:rsidRPr="00413148">
        <w:t>.</w:t>
      </w:r>
      <w:r w:rsidRPr="00413148">
        <w:rPr>
          <w:rStyle w:val="FootnoteReference"/>
        </w:rPr>
        <w:footnoteReference w:id="37"/>
      </w:r>
      <w:r w:rsidRPr="00413148">
        <w:t xml:space="preserve"> </w:t>
      </w:r>
      <w:bookmarkStart w:id="15" w:name="_Toc517276513"/>
    </w:p>
    <w:p w14:paraId="54768A0D" w14:textId="77777777" w:rsidR="00104FBF" w:rsidRPr="00413148" w:rsidRDefault="00104FBF" w:rsidP="00104FBF"/>
    <w:p w14:paraId="6BB165A2" w14:textId="7326D387" w:rsidR="00470A53" w:rsidRPr="00E536BB" w:rsidRDefault="00470A53" w:rsidP="00E536BB">
      <w:pPr>
        <w:pStyle w:val="Heading3"/>
        <w:numPr>
          <w:ilvl w:val="0"/>
          <w:numId w:val="57"/>
        </w:numPr>
        <w:spacing w:before="0" w:after="0"/>
        <w:rPr>
          <w:b/>
          <w:color w:val="4B0082"/>
          <w:sz w:val="32"/>
          <w:szCs w:val="32"/>
        </w:rPr>
      </w:pPr>
      <w:r w:rsidRPr="00E536BB">
        <w:rPr>
          <w:b/>
          <w:color w:val="4B0082"/>
          <w:sz w:val="32"/>
          <w:szCs w:val="32"/>
        </w:rPr>
        <w:t>Discriminatory Policies</w:t>
      </w:r>
      <w:bookmarkEnd w:id="15"/>
    </w:p>
    <w:p w14:paraId="6DB9893A" w14:textId="77777777" w:rsidR="002B563B" w:rsidRPr="00413148" w:rsidRDefault="002B563B" w:rsidP="0045369C"/>
    <w:p w14:paraId="0F94DC7C" w14:textId="77777777" w:rsidR="00470A53" w:rsidRPr="00413148" w:rsidRDefault="00E12D32" w:rsidP="0045369C">
      <w:r w:rsidRPr="00413148">
        <w:t xml:space="preserve">Policies that treat </w:t>
      </w:r>
      <w:r w:rsidR="00EA1D81" w:rsidRPr="00413148">
        <w:t>individuals</w:t>
      </w:r>
      <w:r w:rsidRPr="00413148">
        <w:t xml:space="preserve"> with disabilities distinctly constitute unlawful discrimination except where a covered entity can demonstrate a legitimate, non-discriminatory justification for </w:t>
      </w:r>
      <w:proofErr w:type="gramStart"/>
      <w:r w:rsidRPr="00413148">
        <w:t>the disparate</w:t>
      </w:r>
      <w:proofErr w:type="gramEnd"/>
      <w:r w:rsidRPr="00413148">
        <w:t xml:space="preserve"> treatment</w:t>
      </w:r>
      <w:r w:rsidR="38BA6A91" w:rsidRPr="00413148">
        <w:t xml:space="preserve">. Policies that categorically exclude individuals on account of </w:t>
      </w:r>
      <w:r w:rsidR="426139C6" w:rsidRPr="00413148">
        <w:t>a</w:t>
      </w:r>
      <w:r w:rsidR="38BA6A91" w:rsidRPr="00413148">
        <w:t xml:space="preserve"> disability</w:t>
      </w:r>
      <w:r w:rsidR="00A73143" w:rsidRPr="00413148">
        <w:t xml:space="preserve"> </w:t>
      </w:r>
      <w:r w:rsidR="38BA6A91" w:rsidRPr="00413148">
        <w:t>without taking individual circumstances into account</w:t>
      </w:r>
      <w:r w:rsidR="00A73143" w:rsidRPr="00413148">
        <w:t xml:space="preserve"> </w:t>
      </w:r>
      <w:r w:rsidR="38BA6A91" w:rsidRPr="00413148">
        <w:t xml:space="preserve">are unlawful. This includes policies that: (a) exclude workers </w:t>
      </w:r>
      <w:r w:rsidR="38BA6A91" w:rsidRPr="00413148">
        <w:lastRenderedPageBreak/>
        <w:t>with disabilities from specific job categories or positions without assessing individual candidate capacity and skills in light of the essential requisites of the job</w:t>
      </w:r>
      <w:r w:rsidR="18F98F91" w:rsidRPr="00413148">
        <w:t>;</w:t>
      </w:r>
      <w:r w:rsidR="38BA6A91" w:rsidRPr="00413148">
        <w:t xml:space="preserve"> (b) deny housing to individuals with disabilities</w:t>
      </w:r>
      <w:r w:rsidR="66DDBCDC" w:rsidRPr="00413148">
        <w:t>;</w:t>
      </w:r>
      <w:r w:rsidR="38BA6A91" w:rsidRPr="00413148">
        <w:t xml:space="preserve"> </w:t>
      </w:r>
      <w:r w:rsidR="16BB7726" w:rsidRPr="00413148">
        <w:t xml:space="preserve">(c) </w:t>
      </w:r>
      <w:r w:rsidR="38BA6A91" w:rsidRPr="00413148">
        <w:t>deny entr</w:t>
      </w:r>
      <w:r w:rsidR="23143795" w:rsidRPr="00413148">
        <w:t xml:space="preserve">y </w:t>
      </w:r>
      <w:r w:rsidR="38BA6A91" w:rsidRPr="00413148">
        <w:t>to individuals with disabilities to public accommodations</w:t>
      </w:r>
      <w:r w:rsidR="3980FC5F" w:rsidRPr="00413148">
        <w:t>;</w:t>
      </w:r>
      <w:r w:rsidR="38BA6A91" w:rsidRPr="00413148">
        <w:t xml:space="preserve"> or (</w:t>
      </w:r>
      <w:r w:rsidR="081ED9F2" w:rsidRPr="00413148">
        <w:t>d</w:t>
      </w:r>
      <w:r w:rsidR="38BA6A91" w:rsidRPr="00413148">
        <w:t>) impose conditions on people on account of their disabilit</w:t>
      </w:r>
      <w:r w:rsidR="5324B084" w:rsidRPr="00413148">
        <w:t>ies</w:t>
      </w:r>
      <w:r w:rsidR="38BA6A91" w:rsidRPr="00413148">
        <w:t xml:space="preserve">. Using safety concerns as a pretext for discrimination or in a manner that reinforces stereotypes and assumptions about people with disabilities is unlawful. Reasonable and legitimate health and safety considerations may, however, be </w:t>
      </w:r>
      <w:proofErr w:type="gramStart"/>
      <w:r w:rsidR="38BA6A91" w:rsidRPr="00413148">
        <w:t>taken into account</w:t>
      </w:r>
      <w:proofErr w:type="gramEnd"/>
      <w:r w:rsidR="00547D5A" w:rsidRPr="00413148">
        <w:t xml:space="preserve"> by covered entities. In limited instances, </w:t>
      </w:r>
      <w:r w:rsidR="00FE3D27" w:rsidRPr="00413148">
        <w:t>when relevant in the circumstances, i</w:t>
      </w:r>
      <w:r w:rsidR="00547D5A" w:rsidRPr="00413148">
        <w:t>nquiries about an individual’s capacity</w:t>
      </w:r>
      <w:r w:rsidR="38BA6A91" w:rsidRPr="00413148">
        <w:t xml:space="preserve"> </w:t>
      </w:r>
      <w:r w:rsidR="00547D5A" w:rsidRPr="00413148">
        <w:t xml:space="preserve">are permissible. </w:t>
      </w:r>
      <w:r w:rsidR="00FE3D27" w:rsidRPr="00413148">
        <w:t>For example, a</w:t>
      </w:r>
      <w:r w:rsidR="38BA6A91" w:rsidRPr="00413148">
        <w:t>n employer may require a</w:t>
      </w:r>
      <w:r w:rsidR="38BA6A91" w:rsidRPr="00413148" w:rsidDel="00151387">
        <w:t xml:space="preserve"> </w:t>
      </w:r>
      <w:r w:rsidR="38BA6A91" w:rsidRPr="00413148">
        <w:t>note from an individual’s</w:t>
      </w:r>
      <w:r w:rsidR="6CC97F47" w:rsidRPr="00413148">
        <w:t xml:space="preserve"> health professional</w:t>
      </w:r>
      <w:r w:rsidR="38BA6A91" w:rsidRPr="00413148">
        <w:t xml:space="preserve"> stating that the individual who had been out on leave related to a disability is able to return to work with or without a reasonable accommodation, </w:t>
      </w:r>
      <w:r w:rsidR="71DB80E1" w:rsidRPr="00413148">
        <w:t xml:space="preserve">but </w:t>
      </w:r>
      <w:r w:rsidR="61084FD2" w:rsidRPr="00413148">
        <w:t xml:space="preserve">only </w:t>
      </w:r>
      <w:r w:rsidR="38BA6A91" w:rsidRPr="00413148">
        <w:t xml:space="preserve">if an employer has a reasonable belief that either (a) </w:t>
      </w:r>
      <w:r w:rsidR="5CD5CA1B" w:rsidRPr="00413148">
        <w:t>the person</w:t>
      </w:r>
      <w:r w:rsidR="38BA6A91" w:rsidRPr="00413148">
        <w:t xml:space="preserve">’s ability to perform the essential requisites of the job will be impaired or (b) </w:t>
      </w:r>
      <w:r w:rsidR="5792346D" w:rsidRPr="00413148">
        <w:t xml:space="preserve">the person </w:t>
      </w:r>
      <w:r w:rsidR="38BA6A91" w:rsidRPr="00413148">
        <w:t>will pose a direct threat to themselves or the safety of others due to a medical condition.</w:t>
      </w:r>
      <w:r w:rsidR="00470A53" w:rsidRPr="00413148">
        <w:rPr>
          <w:rStyle w:val="FootnoteReference"/>
        </w:rPr>
        <w:footnoteReference w:id="38"/>
      </w:r>
    </w:p>
    <w:p w14:paraId="0E0E8E48" w14:textId="7AF134B4" w:rsidR="000026B4" w:rsidRPr="00413148" w:rsidRDefault="000026B4" w:rsidP="000026B4">
      <w:bookmarkStart w:id="16" w:name="_Toc517276514"/>
      <w:bookmarkStart w:id="17" w:name="_Toc218083739"/>
    </w:p>
    <w:p w14:paraId="602A4DF9" w14:textId="77777777" w:rsidR="00470A53" w:rsidRPr="00413148" w:rsidRDefault="00470A53" w:rsidP="00E536BB">
      <w:pPr>
        <w:pStyle w:val="Heading3"/>
        <w:numPr>
          <w:ilvl w:val="0"/>
          <w:numId w:val="57"/>
        </w:numPr>
        <w:spacing w:before="0" w:after="0"/>
        <w:rPr>
          <w:b/>
          <w:color w:val="4B0082"/>
          <w:sz w:val="32"/>
          <w:szCs w:val="32"/>
        </w:rPr>
      </w:pPr>
      <w:r w:rsidRPr="00413148">
        <w:rPr>
          <w:b/>
          <w:color w:val="4B0082"/>
          <w:sz w:val="32"/>
          <w:szCs w:val="32"/>
        </w:rPr>
        <w:t>Actions Based on Stereotypes and Assumptions</w:t>
      </w:r>
      <w:bookmarkEnd w:id="16"/>
      <w:bookmarkEnd w:id="17"/>
    </w:p>
    <w:p w14:paraId="22BD52CE" w14:textId="77777777" w:rsidR="002B563B" w:rsidRPr="00413148" w:rsidRDefault="002B563B" w:rsidP="0045369C"/>
    <w:p w14:paraId="0136261D" w14:textId="3EACC15E" w:rsidR="00A613B0" w:rsidRDefault="00470A53" w:rsidP="00A613B0">
      <w:pPr>
        <w:rPr>
          <w:shd w:val="clear" w:color="auto" w:fill="FFFFFF"/>
        </w:rPr>
      </w:pPr>
      <w:r w:rsidRPr="00413148">
        <w:rPr>
          <w:shd w:val="clear" w:color="auto" w:fill="FFFFFF"/>
        </w:rPr>
        <w:t>It is unlawful under the NYCHRL for covered entities to act on stereotypes or assumptions. Judgments and stereotypes about individuals with disabilities, including their physical and mental capabilities, are pervasive in our society</w:t>
      </w:r>
      <w:r w:rsidR="0016286C" w:rsidRPr="00413148">
        <w:rPr>
          <w:shd w:val="clear" w:color="auto" w:fill="FFFFFF"/>
        </w:rPr>
        <w:t>,</w:t>
      </w:r>
      <w:r w:rsidRPr="00413148">
        <w:rPr>
          <w:shd w:val="clear" w:color="auto" w:fill="FFFFFF"/>
        </w:rPr>
        <w:t xml:space="preserve"> </w:t>
      </w:r>
      <w:r w:rsidR="13E5108C" w:rsidRPr="00413148">
        <w:rPr>
          <w:shd w:val="clear" w:color="auto" w:fill="FFFFFF"/>
        </w:rPr>
        <w:t>but they</w:t>
      </w:r>
      <w:r w:rsidRPr="00413148">
        <w:rPr>
          <w:shd w:val="clear" w:color="auto" w:fill="FFFFFF"/>
        </w:rPr>
        <w:t xml:space="preserve"> do not justify differential treatment or provide a legitimate basis for unlawful discriminatory </w:t>
      </w:r>
      <w:r w:rsidR="00EF1252" w:rsidRPr="00413148">
        <w:rPr>
          <w:shd w:val="clear" w:color="auto" w:fill="FFFFFF"/>
        </w:rPr>
        <w:t>action</w:t>
      </w:r>
      <w:r w:rsidRPr="00413148">
        <w:rPr>
          <w:shd w:val="clear" w:color="auto" w:fill="FFFFFF"/>
        </w:rPr>
        <w:t>s in employment, housing, and public accommodations.</w:t>
      </w:r>
      <w:r w:rsidR="00A613B0">
        <w:rPr>
          <w:shd w:val="clear" w:color="auto" w:fill="FFFFFF"/>
        </w:rPr>
        <w:t xml:space="preserve"> </w:t>
      </w:r>
      <w:r w:rsidR="00A613B0">
        <w:rPr>
          <w:shd w:val="clear" w:color="auto" w:fill="FFFFFF"/>
        </w:rPr>
        <w:br w:type="page"/>
      </w:r>
    </w:p>
    <w:p w14:paraId="4B948BC4" w14:textId="60698596" w:rsidR="00D776C2" w:rsidRPr="00413148" w:rsidRDefault="00C82998" w:rsidP="00113630">
      <w:pPr>
        <w:pStyle w:val="Heading2"/>
        <w:numPr>
          <w:ilvl w:val="0"/>
          <w:numId w:val="19"/>
        </w:numPr>
        <w:spacing w:before="0" w:after="0"/>
        <w:ind w:left="360"/>
        <w:rPr>
          <w:rFonts w:ascii="Arial" w:hAnsi="Arial" w:cs="Arial"/>
          <w:b/>
          <w:color w:val="4B0082"/>
          <w:sz w:val="36"/>
          <w:szCs w:val="36"/>
        </w:rPr>
      </w:pPr>
      <w:bookmarkStart w:id="18" w:name="_Toc517276515"/>
      <w:bookmarkStart w:id="19" w:name="_Toc218083740"/>
      <w:r>
        <w:rPr>
          <w:rFonts w:ascii="Arial" w:hAnsi="Arial" w:cs="Arial"/>
          <w:b/>
          <w:color w:val="4B0082"/>
          <w:sz w:val="36"/>
          <w:szCs w:val="36"/>
        </w:rPr>
        <w:lastRenderedPageBreak/>
        <w:t xml:space="preserve"> </w:t>
      </w:r>
      <w:r w:rsidR="00D776C2" w:rsidRPr="00413148">
        <w:rPr>
          <w:rFonts w:ascii="Arial" w:hAnsi="Arial" w:cs="Arial"/>
          <w:b/>
          <w:color w:val="4B0082"/>
          <w:sz w:val="36"/>
          <w:szCs w:val="36"/>
        </w:rPr>
        <w:t xml:space="preserve">Neutral Policies </w:t>
      </w:r>
      <w:r w:rsidR="007965A3" w:rsidRPr="00413148">
        <w:rPr>
          <w:rFonts w:ascii="Arial" w:hAnsi="Arial" w:cs="Arial"/>
          <w:b/>
          <w:color w:val="4B0082"/>
          <w:sz w:val="36"/>
          <w:szCs w:val="36"/>
        </w:rPr>
        <w:t>t</w:t>
      </w:r>
      <w:r w:rsidR="00D776C2" w:rsidRPr="00413148">
        <w:rPr>
          <w:rFonts w:ascii="Arial" w:hAnsi="Arial" w:cs="Arial"/>
          <w:b/>
          <w:color w:val="4B0082"/>
          <w:sz w:val="36"/>
          <w:szCs w:val="36"/>
        </w:rPr>
        <w:t xml:space="preserve">hat </w:t>
      </w:r>
      <w:r w:rsidR="007965A3" w:rsidRPr="00413148">
        <w:rPr>
          <w:rFonts w:ascii="Arial" w:hAnsi="Arial" w:cs="Arial"/>
          <w:b/>
          <w:color w:val="4B0082"/>
          <w:sz w:val="36"/>
          <w:szCs w:val="36"/>
        </w:rPr>
        <w:t>h</w:t>
      </w:r>
      <w:r w:rsidR="00D776C2" w:rsidRPr="00413148">
        <w:rPr>
          <w:rFonts w:ascii="Arial" w:hAnsi="Arial" w:cs="Arial"/>
          <w:b/>
          <w:color w:val="4B0082"/>
          <w:sz w:val="36"/>
          <w:szCs w:val="36"/>
        </w:rPr>
        <w:t>ave a Discriminatory Impact</w:t>
      </w:r>
      <w:bookmarkEnd w:id="18"/>
      <w:bookmarkEnd w:id="19"/>
    </w:p>
    <w:p w14:paraId="3948B216" w14:textId="77777777" w:rsidR="002B563B" w:rsidRPr="00413148" w:rsidRDefault="002B563B" w:rsidP="0045369C"/>
    <w:p w14:paraId="1CC2ABAE" w14:textId="77777777" w:rsidR="00D776C2" w:rsidRPr="00413148" w:rsidRDefault="75D489A3" w:rsidP="0045369C">
      <w:r w:rsidRPr="00413148">
        <w:t>As explained above, t</w:t>
      </w:r>
      <w:r w:rsidR="00D776C2" w:rsidRPr="00413148">
        <w:t xml:space="preserve">he central question in a disparate treatment claim is whether the protected trait motivated a covered entity’s decision or actions, at least in part. In contrast, disparate impact claims involve policies or practices that are facially neutral but disproportionately or more negatively impact </w:t>
      </w:r>
      <w:r w:rsidR="57E48FBA" w:rsidRPr="00413148">
        <w:t>persons in a particular group, such as persons with disabilities</w:t>
      </w:r>
      <w:r w:rsidR="00D776C2" w:rsidRPr="00413148">
        <w:t>. Unless such policies or practices bear a significant relationship to a significant business objective of the covered entity, they are unlawful under the NYCHRL.</w:t>
      </w:r>
      <w:r w:rsidR="00D776C2" w:rsidRPr="00413148">
        <w:rPr>
          <w:rStyle w:val="FootnoteReference"/>
        </w:rPr>
        <w:footnoteReference w:id="39"/>
      </w:r>
      <w:r w:rsidR="00D776C2" w:rsidRPr="00413148">
        <w:t xml:space="preserve"> </w:t>
      </w:r>
      <w:r w:rsidR="00F125DE" w:rsidRPr="00413148">
        <w:t>A</w:t>
      </w:r>
      <w:r w:rsidR="00D776C2" w:rsidRPr="00413148">
        <w:t xml:space="preserve"> facially neutral policy or practice may </w:t>
      </w:r>
      <w:r w:rsidR="13A57518" w:rsidRPr="00413148">
        <w:t>constitute</w:t>
      </w:r>
      <w:r w:rsidR="5E9CB160" w:rsidRPr="00413148">
        <w:t xml:space="preserve"> </w:t>
      </w:r>
      <w:r w:rsidR="00D776C2" w:rsidRPr="00413148">
        <w:t xml:space="preserve">unlawful </w:t>
      </w:r>
      <w:r w:rsidR="00F125DE" w:rsidRPr="00413148">
        <w:t>disparate impact</w:t>
      </w:r>
      <w:r w:rsidR="00D776C2" w:rsidRPr="00413148">
        <w:t xml:space="preserve"> discrimination even </w:t>
      </w:r>
      <w:r w:rsidR="01F234E5" w:rsidRPr="00413148">
        <w:t xml:space="preserve">in the absence of </w:t>
      </w:r>
      <w:r w:rsidR="00D776C2" w:rsidRPr="00413148">
        <w:t>evidence of a covered entity’s subjective intent to discriminate.</w:t>
      </w:r>
      <w:r w:rsidR="00D776C2" w:rsidRPr="00413148">
        <w:rPr>
          <w:rStyle w:val="FootnoteReference"/>
        </w:rPr>
        <w:footnoteReference w:id="40"/>
      </w:r>
      <w:r w:rsidR="00D776C2" w:rsidRPr="00413148">
        <w:t xml:space="preserve"> For example, </w:t>
      </w:r>
      <w:r w:rsidR="0242F7BC" w:rsidRPr="00413148">
        <w:t>a</w:t>
      </w:r>
      <w:r w:rsidR="00D776C2" w:rsidRPr="00413148">
        <w:t xml:space="preserve"> </w:t>
      </w:r>
      <w:r w:rsidR="63BC1FE5" w:rsidRPr="00413148">
        <w:t xml:space="preserve">public accommodation’s </w:t>
      </w:r>
      <w:r w:rsidR="003E25EF" w:rsidRPr="00413148">
        <w:t>“</w:t>
      </w:r>
      <w:r w:rsidR="63BC1FE5" w:rsidRPr="00413148">
        <w:t xml:space="preserve">no animals” policy </w:t>
      </w:r>
      <w:r w:rsidR="0242F7BC" w:rsidRPr="00413148">
        <w:t>that</w:t>
      </w:r>
      <w:r w:rsidR="00D776C2" w:rsidRPr="00413148">
        <w:t xml:space="preserve"> imposes a </w:t>
      </w:r>
      <w:r w:rsidR="5D461297" w:rsidRPr="00413148">
        <w:t>total ban on animals in the establishment without</w:t>
      </w:r>
      <w:r w:rsidR="627C4CA9" w:rsidRPr="00413148">
        <w:t xml:space="preserve"> </w:t>
      </w:r>
      <w:r w:rsidR="7ACB7A8A" w:rsidRPr="00413148">
        <w:t xml:space="preserve">an </w:t>
      </w:r>
      <w:r w:rsidR="00D776C2" w:rsidRPr="00413148">
        <w:t xml:space="preserve">exception for </w:t>
      </w:r>
      <w:r w:rsidR="385A2BA2" w:rsidRPr="00413148">
        <w:t xml:space="preserve">allowing </w:t>
      </w:r>
      <w:r w:rsidR="2693DCB4" w:rsidRPr="00413148">
        <w:t>service animals</w:t>
      </w:r>
      <w:r w:rsidR="00D776C2" w:rsidRPr="00413148">
        <w:t xml:space="preserve"> </w:t>
      </w:r>
      <w:r w:rsidR="1672D7CE" w:rsidRPr="00413148">
        <w:t xml:space="preserve">or an employer’s </w:t>
      </w:r>
      <w:r w:rsidR="7A090CE7" w:rsidRPr="00413148">
        <w:t xml:space="preserve">leave </w:t>
      </w:r>
      <w:r w:rsidR="1672D7CE" w:rsidRPr="00413148">
        <w:t xml:space="preserve">policy </w:t>
      </w:r>
      <w:r w:rsidR="34077CAD" w:rsidRPr="00413148">
        <w:t>that does not allow for disability accommodations</w:t>
      </w:r>
      <w:r w:rsidR="1672D7CE" w:rsidRPr="00413148">
        <w:t xml:space="preserve"> </w:t>
      </w:r>
      <w:r w:rsidR="00D776C2" w:rsidRPr="00413148">
        <w:t xml:space="preserve">may appear facially neutral, but </w:t>
      </w:r>
      <w:r w:rsidR="6CD02367" w:rsidRPr="00413148">
        <w:t>these policies</w:t>
      </w:r>
      <w:r w:rsidR="00D776C2" w:rsidRPr="00413148">
        <w:t xml:space="preserve"> may disparately impact individuals with disabilities. If that is the case, the policy may be unlawful under the NYCHRL. By contrast, a policy that allows for the possibility of additional sick leave as a reasonable accommodation for individuals with disabilities would not run afoul of the NYCHRL.</w:t>
      </w:r>
    </w:p>
    <w:p w14:paraId="73410501" w14:textId="77777777" w:rsidR="00D776C2" w:rsidRPr="00413148" w:rsidRDefault="00D776C2" w:rsidP="0045369C"/>
    <w:p w14:paraId="7641288D" w14:textId="06AAFE3E" w:rsidR="00E1149A" w:rsidRDefault="00D776C2" w:rsidP="00E1149A">
      <w:r w:rsidRPr="00413148">
        <w:t>The NYCHRL explicitly creates a disparate impact cause of action in employment, housing, and public accommodations.</w:t>
      </w:r>
      <w:r w:rsidRPr="00413148">
        <w:rPr>
          <w:rStyle w:val="FootnoteReference"/>
        </w:rPr>
        <w:footnoteReference w:id="41"/>
      </w:r>
      <w:r w:rsidRPr="00413148">
        <w:t xml:space="preserve"> </w:t>
      </w:r>
    </w:p>
    <w:p w14:paraId="08F24841" w14:textId="77777777" w:rsidR="008D5E89" w:rsidRDefault="008D5E89" w:rsidP="00E1149A"/>
    <w:p w14:paraId="7D2D490E" w14:textId="77777777" w:rsidR="008D5E89" w:rsidRPr="00413148" w:rsidRDefault="008D5E89" w:rsidP="00E1149A"/>
    <w:p w14:paraId="17E25EBD" w14:textId="77777777" w:rsidR="001260A0" w:rsidRPr="00413148" w:rsidRDefault="001260A0" w:rsidP="00E1149A"/>
    <w:p w14:paraId="3C8E2CCB" w14:textId="313C6D7D" w:rsidR="00D776C2" w:rsidRPr="00413148" w:rsidRDefault="00143BB6" w:rsidP="00113630">
      <w:pPr>
        <w:pStyle w:val="Heading3"/>
        <w:numPr>
          <w:ilvl w:val="0"/>
          <w:numId w:val="22"/>
        </w:numPr>
        <w:spacing w:before="0" w:after="0"/>
        <w:ind w:left="900" w:hanging="360"/>
        <w:rPr>
          <w:color w:val="4B0082"/>
          <w:sz w:val="32"/>
          <w:szCs w:val="32"/>
        </w:rPr>
      </w:pPr>
      <w:bookmarkStart w:id="20" w:name="_Toc218083741"/>
      <w:r w:rsidRPr="00413148">
        <w:rPr>
          <w:rFonts w:cs="Arial"/>
          <w:b/>
          <w:bCs/>
          <w:color w:val="4B0082"/>
          <w:sz w:val="32"/>
          <w:szCs w:val="32"/>
        </w:rPr>
        <w:lastRenderedPageBreak/>
        <w:t>Establishing Disparate Impact Claims</w:t>
      </w:r>
      <w:bookmarkEnd w:id="20"/>
    </w:p>
    <w:p w14:paraId="2B7253D2" w14:textId="77777777" w:rsidR="002B563B" w:rsidRPr="00413148" w:rsidRDefault="002B563B" w:rsidP="0045369C">
      <w:pPr>
        <w:rPr>
          <w:szCs w:val="32"/>
        </w:rPr>
      </w:pPr>
    </w:p>
    <w:p w14:paraId="35594BA0" w14:textId="0C3D6C59" w:rsidR="00D776C2" w:rsidRPr="00413148" w:rsidRDefault="00D776C2" w:rsidP="0045369C">
      <w:r w:rsidRPr="00413148">
        <w:t xml:space="preserve">The standard for establishing a </w:t>
      </w:r>
      <w:r w:rsidRPr="00413148">
        <w:rPr>
          <w:i/>
          <w:iCs/>
        </w:rPr>
        <w:t>prima facie</w:t>
      </w:r>
      <w:r w:rsidRPr="00413148">
        <w:t xml:space="preserve"> case of disparate impact discrimination under the NYCHRL is lower than the standard for similar claims under </w:t>
      </w:r>
      <w:r w:rsidR="00142C50" w:rsidRPr="00413148">
        <w:t>other laws, including</w:t>
      </w:r>
      <w:r w:rsidRPr="00413148">
        <w:t xml:space="preserve"> the ADA </w:t>
      </w:r>
      <w:r w:rsidR="004C0A47" w:rsidRPr="00413148">
        <w:t>and</w:t>
      </w:r>
      <w:r w:rsidRPr="00413148">
        <w:t xml:space="preserve"> Title VII.</w:t>
      </w:r>
      <w:r w:rsidRPr="00413148">
        <w:rPr>
          <w:rStyle w:val="FootnoteReference"/>
        </w:rPr>
        <w:footnoteReference w:id="42"/>
      </w:r>
      <w:r w:rsidRPr="00413148">
        <w:t xml:space="preserve"> </w:t>
      </w:r>
    </w:p>
    <w:p w14:paraId="3DB717D6" w14:textId="77777777" w:rsidR="00D776C2" w:rsidRPr="00413148" w:rsidRDefault="00D776C2" w:rsidP="0045369C"/>
    <w:p w14:paraId="341A36FF" w14:textId="5D75D147" w:rsidR="00D776C2" w:rsidRPr="00413148" w:rsidRDefault="00D776C2" w:rsidP="0045369C">
      <w:r w:rsidRPr="00413148">
        <w:t xml:space="preserve">Under the NYCHRL, a </w:t>
      </w:r>
      <w:r w:rsidR="00122967" w:rsidRPr="00413148">
        <w:t xml:space="preserve">successful </w:t>
      </w:r>
      <w:r w:rsidR="009E138B" w:rsidRPr="00413148">
        <w:t xml:space="preserve">complaint based on disparate impact </w:t>
      </w:r>
      <w:r w:rsidRPr="00413148">
        <w:t>must show that a</w:t>
      </w:r>
      <w:r w:rsidR="009E138B" w:rsidRPr="00413148">
        <w:t xml:space="preserve"> covered entit</w:t>
      </w:r>
      <w:r w:rsidR="00811625" w:rsidRPr="00413148">
        <w:t>y</w:t>
      </w:r>
      <w:r w:rsidR="009E138B" w:rsidRPr="00413148">
        <w:t>’</w:t>
      </w:r>
      <w:r w:rsidR="00811625" w:rsidRPr="00413148">
        <w:t>s</w:t>
      </w:r>
      <w:r w:rsidRPr="00413148">
        <w:t xml:space="preserve"> facially neutral policy or practice has a disparate impact on a protected group.</w:t>
      </w:r>
      <w:r w:rsidRPr="00413148">
        <w:rPr>
          <w:rStyle w:val="FootnoteReference"/>
        </w:rPr>
        <w:footnoteReference w:id="43"/>
      </w:r>
      <w:r w:rsidRPr="00413148">
        <w:t xml:space="preserve"> Once such a showing has been made, the covered entity has an opportunity to plead and prove as an affirmative defense that either: (1) the policy or practice complained of bears a significant relationship to a significant business objective; or (2) the policy or practice does not contribute to the disparate impact.</w:t>
      </w:r>
      <w:r w:rsidRPr="00413148">
        <w:rPr>
          <w:rStyle w:val="FootnoteReference"/>
        </w:rPr>
        <w:footnoteReference w:id="44"/>
      </w:r>
      <w:r w:rsidRPr="00413148">
        <w:t xml:space="preserve"> However, this defense is defeated if the</w:t>
      </w:r>
      <w:r w:rsidR="007D782A" w:rsidRPr="00413148">
        <w:t>re</w:t>
      </w:r>
      <w:r w:rsidRPr="00413148">
        <w:t xml:space="preserve"> </w:t>
      </w:r>
      <w:r w:rsidR="007D782A" w:rsidRPr="00413148">
        <w:t>is</w:t>
      </w:r>
      <w:r w:rsidRPr="00413148">
        <w:t xml:space="preserve"> substantial evidence of an available alternative policy or practice that would have a lesser disparate impact, and the covered entity is unable to establish that an alternative policy or practice would not serve its business objective as well as the </w:t>
      </w:r>
      <w:r w:rsidR="139A3AE9" w:rsidRPr="00413148">
        <w:t xml:space="preserve">existing </w:t>
      </w:r>
      <w:r w:rsidRPr="00413148">
        <w:t>policy or practice.</w:t>
      </w:r>
      <w:r w:rsidRPr="00413148">
        <w:rPr>
          <w:rStyle w:val="FootnoteReference"/>
        </w:rPr>
        <w:footnoteReference w:id="45"/>
      </w:r>
      <w:r w:rsidRPr="00413148">
        <w:t xml:space="preserve">  </w:t>
      </w:r>
      <w:r w:rsidRPr="00413148">
        <w:lastRenderedPageBreak/>
        <w:t>A “significant business objective” in the employment context includes, but is not limited to, successful performance of the job.</w:t>
      </w:r>
      <w:r w:rsidRPr="00413148">
        <w:rPr>
          <w:rStyle w:val="FootnoteReference"/>
        </w:rPr>
        <w:footnoteReference w:id="46"/>
      </w:r>
      <w:r w:rsidRPr="00413148">
        <w:rPr>
          <w:rStyle w:val="FootnoteReference"/>
        </w:rPr>
        <w:t xml:space="preserve"> </w:t>
      </w:r>
    </w:p>
    <w:p w14:paraId="6CBCAEB3" w14:textId="77777777" w:rsidR="00D776C2" w:rsidRPr="00413148" w:rsidRDefault="00D776C2" w:rsidP="00426FF6"/>
    <w:p w14:paraId="1D86EF9B" w14:textId="711C8EDE" w:rsidR="00D776C2" w:rsidRPr="00413148" w:rsidRDefault="00D776C2" w:rsidP="00426FF6">
      <w:r w:rsidRPr="00413148">
        <w:t>To comply with the NYC</w:t>
      </w:r>
      <w:r w:rsidR="008C6AD3" w:rsidRPr="00413148">
        <w:t>H</w:t>
      </w:r>
      <w:r w:rsidR="00435EEA" w:rsidRPr="00413148">
        <w:t>RL</w:t>
      </w:r>
      <w:r w:rsidRPr="00413148">
        <w:t xml:space="preserve">, covered entities should review and modify policies and practices that could have a disparate impact on individuals with disabilities and ensure that they have mechanisms in place to provide modifications or exceptions to policies and practices </w:t>
      </w:r>
      <w:r w:rsidR="3DB3847A" w:rsidRPr="00413148">
        <w:t xml:space="preserve">that may have a disparate impact </w:t>
      </w:r>
      <w:r w:rsidRPr="00413148">
        <w:t xml:space="preserve">as reasonable accommodations. Written policies that express limitations or prohibitions, such as a “maximum leave policy” in an employee handbook or a “no pets” policy in a lease or public accommodation, should </w:t>
      </w:r>
      <w:r w:rsidR="013A77BD" w:rsidRPr="00413148">
        <w:t>include</w:t>
      </w:r>
      <w:r w:rsidRPr="00413148">
        <w:t xml:space="preserve"> the availability of </w:t>
      </w:r>
      <w:r w:rsidR="6F111B52" w:rsidRPr="00413148">
        <w:t xml:space="preserve">modifications or exceptions as reasonable accommodations, </w:t>
      </w:r>
      <w:r w:rsidRPr="00413148">
        <w:t xml:space="preserve">and the process for </w:t>
      </w:r>
      <w:r w:rsidR="1620AAA7" w:rsidRPr="00413148">
        <w:t xml:space="preserve">individuals to </w:t>
      </w:r>
      <w:r w:rsidRPr="00413148">
        <w:t>seek</w:t>
      </w:r>
      <w:r w:rsidR="4DB4CAB4" w:rsidRPr="00413148">
        <w:t xml:space="preserve"> such </w:t>
      </w:r>
      <w:r w:rsidRPr="00413148">
        <w:t xml:space="preserve">exception or modification to the policy as a reasonable accommodation. </w:t>
      </w:r>
      <w:bookmarkStart w:id="21" w:name="_Hlk493750730"/>
      <w:r w:rsidRPr="00413148">
        <w:t xml:space="preserve">In determining whether a covered entity’s facially neutral policy or practice has a discriminatory impact, the Commission will consider all written policies, including employee handbooks and manuals, whether and how staff are trained to </w:t>
      </w:r>
      <w:r w:rsidR="30DC9DBE" w:rsidRPr="00413148">
        <w:t xml:space="preserve">receive and respond to </w:t>
      </w:r>
      <w:r w:rsidRPr="00413148">
        <w:t>requests for accommodation</w:t>
      </w:r>
      <w:r w:rsidR="12891F92" w:rsidRPr="00413148">
        <w:t>s</w:t>
      </w:r>
      <w:r w:rsidRPr="00413148">
        <w:t>, and how the policy has been implemented.</w:t>
      </w:r>
      <w:bookmarkEnd w:id="21"/>
    </w:p>
    <w:p w14:paraId="5CA2DA69" w14:textId="77777777" w:rsidR="00D776C2" w:rsidRPr="00413148" w:rsidRDefault="00D776C2" w:rsidP="00E1149A"/>
    <w:p w14:paraId="6EA1C476" w14:textId="7E75FCBC" w:rsidR="00C24B0A" w:rsidRPr="00413148" w:rsidRDefault="00C24B0A" w:rsidP="00113630">
      <w:pPr>
        <w:pStyle w:val="Heading2"/>
        <w:numPr>
          <w:ilvl w:val="0"/>
          <w:numId w:val="19"/>
        </w:numPr>
        <w:spacing w:before="0" w:after="0"/>
        <w:ind w:left="450" w:hanging="450"/>
        <w:rPr>
          <w:b/>
          <w:bCs/>
          <w:color w:val="4B0082"/>
          <w:sz w:val="36"/>
          <w:szCs w:val="36"/>
        </w:rPr>
      </w:pPr>
      <w:bookmarkStart w:id="22" w:name="_Toc218083742"/>
      <w:r w:rsidRPr="00413148">
        <w:rPr>
          <w:rFonts w:ascii="Arial" w:hAnsi="Arial" w:cs="Arial"/>
          <w:b/>
          <w:color w:val="4B0082"/>
          <w:sz w:val="36"/>
          <w:szCs w:val="36"/>
        </w:rPr>
        <w:t>Artificial Intelligence</w:t>
      </w:r>
      <w:bookmarkEnd w:id="22"/>
    </w:p>
    <w:p w14:paraId="2EC4AB8A" w14:textId="77777777" w:rsidR="002B563B" w:rsidRPr="00413148" w:rsidRDefault="002B563B" w:rsidP="00E1149A">
      <w:pPr>
        <w:rPr>
          <w:rStyle w:val="CommentReference"/>
          <w:rFonts w:cs="Arial"/>
          <w:sz w:val="32"/>
          <w:szCs w:val="32"/>
        </w:rPr>
      </w:pPr>
    </w:p>
    <w:p w14:paraId="05962CF3" w14:textId="61660C2F" w:rsidR="00E1149A" w:rsidRPr="00413148" w:rsidRDefault="00461F79" w:rsidP="00E1149A">
      <w:pPr>
        <w:rPr>
          <w:rStyle w:val="CommentReference"/>
          <w:rFonts w:cs="Arial"/>
          <w:sz w:val="32"/>
          <w:szCs w:val="32"/>
        </w:rPr>
      </w:pPr>
      <w:r w:rsidRPr="00413148">
        <w:rPr>
          <w:rStyle w:val="CommentReference"/>
          <w:rFonts w:cs="Arial"/>
          <w:sz w:val="32"/>
          <w:szCs w:val="32"/>
        </w:rPr>
        <w:t>A</w:t>
      </w:r>
      <w:r w:rsidR="00C24B0A" w:rsidRPr="00413148">
        <w:rPr>
          <w:rStyle w:val="CommentReference"/>
          <w:rFonts w:cs="Arial"/>
          <w:sz w:val="32"/>
          <w:szCs w:val="32"/>
        </w:rPr>
        <w:t xml:space="preserve">rtificial intelligence (“AI”) increasingly </w:t>
      </w:r>
      <w:r w:rsidRPr="00413148">
        <w:rPr>
          <w:rStyle w:val="CommentReference"/>
          <w:rFonts w:cs="Arial"/>
          <w:sz w:val="32"/>
          <w:szCs w:val="32"/>
        </w:rPr>
        <w:t xml:space="preserve">is a </w:t>
      </w:r>
      <w:r w:rsidR="00C24B0A" w:rsidRPr="00413148">
        <w:rPr>
          <w:rStyle w:val="CommentReference"/>
          <w:rFonts w:cs="Arial"/>
          <w:sz w:val="32"/>
          <w:szCs w:val="32"/>
        </w:rPr>
        <w:t xml:space="preserve">part of everyday life. The increased use of </w:t>
      </w:r>
      <w:r w:rsidRPr="00413148">
        <w:rPr>
          <w:rStyle w:val="CommentReference"/>
          <w:rFonts w:cs="Arial"/>
          <w:sz w:val="32"/>
          <w:szCs w:val="32"/>
        </w:rPr>
        <w:t xml:space="preserve">AI, </w:t>
      </w:r>
      <w:r w:rsidR="00C24B0A" w:rsidRPr="00413148">
        <w:rPr>
          <w:rStyle w:val="CommentReference"/>
          <w:rFonts w:cs="Arial"/>
          <w:sz w:val="32"/>
          <w:szCs w:val="32"/>
        </w:rPr>
        <w:t>algorithms</w:t>
      </w:r>
      <w:r w:rsidR="000B742C" w:rsidRPr="00413148">
        <w:rPr>
          <w:rStyle w:val="CommentReference"/>
          <w:rFonts w:cs="Arial"/>
          <w:sz w:val="32"/>
          <w:szCs w:val="32"/>
        </w:rPr>
        <w:t>,</w:t>
      </w:r>
      <w:r w:rsidR="4B12BBDB" w:rsidRPr="00413148">
        <w:rPr>
          <w:rStyle w:val="CommentReference"/>
          <w:rFonts w:cs="Arial"/>
          <w:sz w:val="32"/>
          <w:szCs w:val="32"/>
        </w:rPr>
        <w:t xml:space="preserve"> and other</w:t>
      </w:r>
      <w:r w:rsidRPr="00413148">
        <w:rPr>
          <w:rStyle w:val="CommentReference"/>
          <w:rFonts w:cs="Arial"/>
          <w:sz w:val="32"/>
          <w:szCs w:val="32"/>
        </w:rPr>
        <w:t xml:space="preserve"> m</w:t>
      </w:r>
      <w:r w:rsidR="000B742C" w:rsidRPr="00413148">
        <w:rPr>
          <w:rStyle w:val="CommentReference"/>
          <w:rFonts w:cs="Arial"/>
          <w:sz w:val="32"/>
          <w:szCs w:val="32"/>
        </w:rPr>
        <w:t>a</w:t>
      </w:r>
      <w:r w:rsidRPr="00413148">
        <w:rPr>
          <w:rStyle w:val="CommentReference"/>
          <w:rFonts w:cs="Arial"/>
          <w:sz w:val="32"/>
          <w:szCs w:val="32"/>
        </w:rPr>
        <w:t>chine learning</w:t>
      </w:r>
      <w:r w:rsidR="00D04823" w:rsidRPr="00413148">
        <w:rPr>
          <w:rStyle w:val="CommentReference"/>
          <w:rFonts w:cs="Arial"/>
          <w:sz w:val="32"/>
          <w:szCs w:val="32"/>
        </w:rPr>
        <w:t xml:space="preserve"> </w:t>
      </w:r>
      <w:r w:rsidR="00C24B0A" w:rsidRPr="00413148">
        <w:rPr>
          <w:rStyle w:val="CommentReference"/>
          <w:rFonts w:cs="Arial"/>
          <w:sz w:val="32"/>
          <w:szCs w:val="32"/>
        </w:rPr>
        <w:t xml:space="preserve">technology by housing providers, public accommodations, and employers presents both </w:t>
      </w:r>
      <w:r w:rsidR="02B9F209" w:rsidRPr="00413148">
        <w:rPr>
          <w:rStyle w:val="CommentReference"/>
          <w:rFonts w:cs="Arial"/>
          <w:sz w:val="32"/>
          <w:szCs w:val="32"/>
        </w:rPr>
        <w:t xml:space="preserve">positive </w:t>
      </w:r>
      <w:r w:rsidR="00C24B0A" w:rsidRPr="00413148">
        <w:rPr>
          <w:rStyle w:val="CommentReference"/>
          <w:rFonts w:cs="Arial"/>
          <w:sz w:val="32"/>
          <w:szCs w:val="32"/>
        </w:rPr>
        <w:t>opportunities for individuals with disabilities</w:t>
      </w:r>
      <w:r w:rsidR="007F4B5F" w:rsidRPr="00413148">
        <w:rPr>
          <w:rStyle w:val="CommentReference"/>
          <w:rFonts w:cs="Arial"/>
          <w:sz w:val="32"/>
          <w:szCs w:val="32"/>
        </w:rPr>
        <w:t>—</w:t>
      </w:r>
      <w:r w:rsidR="00C24B0A" w:rsidRPr="00413148">
        <w:rPr>
          <w:rStyle w:val="CommentReference"/>
          <w:rFonts w:cs="Arial"/>
          <w:sz w:val="32"/>
          <w:szCs w:val="32"/>
        </w:rPr>
        <w:t>the potential for more suitable accommodations</w:t>
      </w:r>
      <w:r w:rsidR="007F4B5F" w:rsidRPr="00413148">
        <w:rPr>
          <w:rStyle w:val="CommentReference"/>
          <w:rFonts w:cs="Arial"/>
          <w:sz w:val="32"/>
          <w:szCs w:val="32"/>
        </w:rPr>
        <w:t>—</w:t>
      </w:r>
      <w:r w:rsidR="00C24B0A" w:rsidRPr="00413148">
        <w:rPr>
          <w:rStyle w:val="CommentReference"/>
          <w:rFonts w:cs="Arial"/>
          <w:sz w:val="32"/>
          <w:szCs w:val="32"/>
        </w:rPr>
        <w:t>–as well as novel accessibility challenges.</w:t>
      </w:r>
      <w:r w:rsidR="00E26D37" w:rsidRPr="00413148">
        <w:rPr>
          <w:rStyle w:val="FootnoteReference"/>
          <w:rFonts w:cs="Arial"/>
        </w:rPr>
        <w:footnoteReference w:id="47"/>
      </w:r>
      <w:r w:rsidR="00E1149A" w:rsidRPr="00413148">
        <w:rPr>
          <w:rStyle w:val="CommentReference"/>
          <w:rFonts w:cs="Arial"/>
          <w:sz w:val="32"/>
          <w:szCs w:val="32"/>
        </w:rPr>
        <w:t xml:space="preserve"> </w:t>
      </w:r>
    </w:p>
    <w:p w14:paraId="2BD524CF" w14:textId="77777777" w:rsidR="00E35BCF" w:rsidRPr="00413148" w:rsidRDefault="00E35BCF" w:rsidP="00E1149A">
      <w:pPr>
        <w:rPr>
          <w:rStyle w:val="CommentReference"/>
          <w:rFonts w:cs="Arial"/>
          <w:sz w:val="32"/>
          <w:szCs w:val="32"/>
        </w:rPr>
      </w:pPr>
    </w:p>
    <w:p w14:paraId="6D4729DC" w14:textId="0F155BF7" w:rsidR="0083576B" w:rsidRPr="00413148" w:rsidRDefault="006B1ABC">
      <w:pPr>
        <w:rPr>
          <w:rStyle w:val="CommentReference"/>
          <w:rFonts w:cs="Arial"/>
          <w:sz w:val="32"/>
          <w:szCs w:val="32"/>
        </w:rPr>
      </w:pPr>
      <w:r w:rsidRPr="00413148">
        <w:rPr>
          <w:rStyle w:val="CommentReference"/>
          <w:rFonts w:cs="Arial"/>
          <w:sz w:val="32"/>
          <w:szCs w:val="32"/>
        </w:rPr>
        <w:t>Covered entities are responsible for ensuring that</w:t>
      </w:r>
      <w:r w:rsidR="00386548" w:rsidRPr="00413148">
        <w:rPr>
          <w:rStyle w:val="CommentReference"/>
          <w:rFonts w:cs="Arial"/>
          <w:sz w:val="32"/>
          <w:szCs w:val="32"/>
        </w:rPr>
        <w:t xml:space="preserve"> they are not relying on</w:t>
      </w:r>
      <w:r w:rsidRPr="00413148">
        <w:rPr>
          <w:rStyle w:val="CommentReference"/>
          <w:rFonts w:cs="Arial"/>
          <w:sz w:val="32"/>
          <w:szCs w:val="32"/>
        </w:rPr>
        <w:t xml:space="preserve"> </w:t>
      </w:r>
      <w:r w:rsidR="001C02B9" w:rsidRPr="00413148">
        <w:rPr>
          <w:rStyle w:val="CommentReference"/>
          <w:rFonts w:cs="Arial"/>
          <w:sz w:val="32"/>
          <w:szCs w:val="32"/>
        </w:rPr>
        <w:t>any</w:t>
      </w:r>
      <w:r w:rsidRPr="00413148">
        <w:rPr>
          <w:rStyle w:val="CommentReference"/>
          <w:rFonts w:cs="Arial"/>
          <w:sz w:val="32"/>
          <w:szCs w:val="32"/>
        </w:rPr>
        <w:t xml:space="preserve"> technology or artificial intelligence </w:t>
      </w:r>
      <w:r w:rsidR="00386548" w:rsidRPr="00413148">
        <w:rPr>
          <w:rStyle w:val="CommentReference"/>
          <w:rFonts w:cs="Arial"/>
          <w:sz w:val="32"/>
          <w:szCs w:val="32"/>
        </w:rPr>
        <w:t xml:space="preserve">in a manner that </w:t>
      </w:r>
      <w:r w:rsidR="00297F6A" w:rsidRPr="00413148">
        <w:rPr>
          <w:rStyle w:val="CommentReference"/>
          <w:rFonts w:cs="Arial"/>
          <w:sz w:val="32"/>
          <w:szCs w:val="32"/>
        </w:rPr>
        <w:t>results in</w:t>
      </w:r>
      <w:r w:rsidR="00386548" w:rsidRPr="00413148">
        <w:rPr>
          <w:rStyle w:val="CommentReference"/>
          <w:rFonts w:cs="Arial"/>
          <w:sz w:val="32"/>
          <w:szCs w:val="32"/>
        </w:rPr>
        <w:t xml:space="preserve"> discrimination</w:t>
      </w:r>
      <w:r w:rsidRPr="00413148">
        <w:rPr>
          <w:rStyle w:val="CommentReference"/>
          <w:rFonts w:cs="Arial"/>
          <w:sz w:val="32"/>
          <w:szCs w:val="32"/>
        </w:rPr>
        <w:t>.</w:t>
      </w:r>
      <w:r w:rsidR="00C06906" w:rsidRPr="00413148">
        <w:rPr>
          <w:rStyle w:val="FootnoteReference"/>
          <w:rFonts w:cs="Arial"/>
        </w:rPr>
        <w:footnoteReference w:id="48"/>
      </w:r>
      <w:r w:rsidRPr="00413148">
        <w:rPr>
          <w:rStyle w:val="CommentReference"/>
          <w:rFonts w:cs="Arial"/>
          <w:sz w:val="32"/>
          <w:szCs w:val="32"/>
        </w:rPr>
        <w:t xml:space="preserve"> This includes ensuring that </w:t>
      </w:r>
      <w:r w:rsidR="00386548" w:rsidRPr="00413148">
        <w:rPr>
          <w:rStyle w:val="CommentReference"/>
          <w:rFonts w:cs="Arial"/>
          <w:sz w:val="32"/>
          <w:szCs w:val="32"/>
        </w:rPr>
        <w:t xml:space="preserve">use of </w:t>
      </w:r>
      <w:r w:rsidR="4A375630" w:rsidRPr="00413148">
        <w:rPr>
          <w:rStyle w:val="CommentReference"/>
          <w:rFonts w:cs="Arial"/>
          <w:sz w:val="32"/>
          <w:szCs w:val="32"/>
        </w:rPr>
        <w:t>seemingly</w:t>
      </w:r>
      <w:r w:rsidRPr="00413148">
        <w:rPr>
          <w:rStyle w:val="CommentReference"/>
          <w:rFonts w:cs="Arial"/>
          <w:sz w:val="32"/>
          <w:szCs w:val="32"/>
        </w:rPr>
        <w:t xml:space="preserve"> neutral technology, algorithms, and </w:t>
      </w:r>
      <w:r w:rsidR="1F9D224A" w:rsidRPr="00413148">
        <w:rPr>
          <w:rStyle w:val="CommentReference"/>
          <w:rFonts w:cs="Arial"/>
          <w:sz w:val="32"/>
          <w:szCs w:val="32"/>
        </w:rPr>
        <w:t>AI</w:t>
      </w:r>
      <w:r w:rsidRPr="00413148">
        <w:rPr>
          <w:rStyle w:val="CommentReference"/>
          <w:rFonts w:cs="Arial"/>
          <w:sz w:val="32"/>
          <w:szCs w:val="32"/>
        </w:rPr>
        <w:t xml:space="preserve"> does not </w:t>
      </w:r>
      <w:r w:rsidR="0049602C" w:rsidRPr="00413148">
        <w:rPr>
          <w:rStyle w:val="CommentReference"/>
          <w:rFonts w:cs="Arial"/>
          <w:sz w:val="32"/>
          <w:szCs w:val="32"/>
        </w:rPr>
        <w:t xml:space="preserve">cause disparate </w:t>
      </w:r>
      <w:r w:rsidR="00E03CD0" w:rsidRPr="00413148">
        <w:rPr>
          <w:rStyle w:val="CommentReference"/>
          <w:rFonts w:cs="Arial"/>
          <w:sz w:val="32"/>
          <w:szCs w:val="32"/>
        </w:rPr>
        <w:t xml:space="preserve">treatment </w:t>
      </w:r>
      <w:r w:rsidR="00C26639" w:rsidRPr="00413148">
        <w:rPr>
          <w:rStyle w:val="CommentReference"/>
          <w:rFonts w:cs="Arial"/>
          <w:sz w:val="32"/>
          <w:szCs w:val="32"/>
        </w:rPr>
        <w:t xml:space="preserve">or </w:t>
      </w:r>
      <w:r w:rsidRPr="00413148">
        <w:rPr>
          <w:rStyle w:val="CommentReference"/>
          <w:rFonts w:cs="Arial"/>
          <w:sz w:val="32"/>
          <w:szCs w:val="32"/>
        </w:rPr>
        <w:t xml:space="preserve">create a disparate impact on individuals with disabilities. </w:t>
      </w:r>
      <w:r w:rsidR="002E442D" w:rsidRPr="00413148">
        <w:rPr>
          <w:rStyle w:val="CommentReference"/>
          <w:rFonts w:cs="Arial"/>
          <w:sz w:val="32"/>
          <w:szCs w:val="32"/>
        </w:rPr>
        <w:t xml:space="preserve">Covered entities are responsible for the </w:t>
      </w:r>
      <w:r w:rsidR="00694416" w:rsidRPr="00413148">
        <w:rPr>
          <w:rStyle w:val="CommentReference"/>
          <w:rFonts w:cs="Arial"/>
          <w:sz w:val="32"/>
          <w:szCs w:val="32"/>
        </w:rPr>
        <w:t>actions and decision-making of AI</w:t>
      </w:r>
      <w:r w:rsidR="006541EB" w:rsidRPr="00413148">
        <w:rPr>
          <w:rStyle w:val="CommentReference"/>
          <w:rFonts w:cs="Arial"/>
          <w:sz w:val="32"/>
          <w:szCs w:val="32"/>
        </w:rPr>
        <w:t xml:space="preserve"> systems</w:t>
      </w:r>
      <w:r w:rsidR="00694416" w:rsidRPr="00413148">
        <w:rPr>
          <w:rStyle w:val="CommentReference"/>
          <w:rFonts w:cs="Arial"/>
          <w:sz w:val="32"/>
          <w:szCs w:val="32"/>
        </w:rPr>
        <w:t xml:space="preserve"> and other technology they utilize, and they may</w:t>
      </w:r>
      <w:r w:rsidR="00902F1D" w:rsidRPr="00413148">
        <w:rPr>
          <w:rStyle w:val="CommentReference"/>
          <w:rFonts w:cs="Arial"/>
          <w:sz w:val="32"/>
          <w:szCs w:val="32"/>
        </w:rPr>
        <w:t xml:space="preserve"> not </w:t>
      </w:r>
      <w:r w:rsidR="54B65A87" w:rsidRPr="00413148">
        <w:rPr>
          <w:rStyle w:val="CommentReference"/>
          <w:rFonts w:cs="Arial"/>
          <w:sz w:val="32"/>
          <w:szCs w:val="32"/>
        </w:rPr>
        <w:t>avoid</w:t>
      </w:r>
      <w:r w:rsidR="00902F1D" w:rsidRPr="00413148">
        <w:rPr>
          <w:rStyle w:val="CommentReference"/>
          <w:rFonts w:cs="Arial"/>
          <w:sz w:val="32"/>
          <w:szCs w:val="32"/>
        </w:rPr>
        <w:t xml:space="preserve"> liability for unlawful discrimination by asserting that</w:t>
      </w:r>
      <w:r w:rsidR="00C22A54" w:rsidRPr="00413148">
        <w:rPr>
          <w:rStyle w:val="CommentReference"/>
          <w:rFonts w:cs="Arial"/>
          <w:sz w:val="32"/>
          <w:szCs w:val="32"/>
        </w:rPr>
        <w:t xml:space="preserve"> the </w:t>
      </w:r>
      <w:r w:rsidRPr="00413148">
        <w:rPr>
          <w:rStyle w:val="CommentReference"/>
          <w:rFonts w:cs="Arial"/>
          <w:sz w:val="32"/>
          <w:szCs w:val="32"/>
        </w:rPr>
        <w:t>discrimination w</w:t>
      </w:r>
      <w:r w:rsidR="00953C8D" w:rsidRPr="00413148">
        <w:rPr>
          <w:rStyle w:val="CommentReference"/>
          <w:rFonts w:cs="Arial"/>
          <w:sz w:val="32"/>
          <w:szCs w:val="32"/>
        </w:rPr>
        <w:t>as</w:t>
      </w:r>
      <w:r w:rsidRPr="00413148">
        <w:rPr>
          <w:rStyle w:val="CommentReference"/>
          <w:rFonts w:cs="Arial"/>
          <w:sz w:val="32"/>
          <w:szCs w:val="32"/>
        </w:rPr>
        <w:t xml:space="preserve"> caused by technology or AI</w:t>
      </w:r>
      <w:r w:rsidR="003C2052" w:rsidRPr="00413148">
        <w:rPr>
          <w:rStyle w:val="CommentReference"/>
          <w:rFonts w:cs="Arial"/>
          <w:sz w:val="32"/>
          <w:szCs w:val="32"/>
        </w:rPr>
        <w:t xml:space="preserve"> </w:t>
      </w:r>
      <w:r w:rsidR="000E5622" w:rsidRPr="00413148">
        <w:rPr>
          <w:rStyle w:val="CommentReference"/>
          <w:rFonts w:cs="Arial"/>
          <w:sz w:val="32"/>
          <w:szCs w:val="32"/>
        </w:rPr>
        <w:t>rather than human decision-making</w:t>
      </w:r>
      <w:r w:rsidRPr="00413148">
        <w:rPr>
          <w:rStyle w:val="CommentReference"/>
          <w:rFonts w:cs="Arial"/>
          <w:sz w:val="32"/>
          <w:szCs w:val="32"/>
        </w:rPr>
        <w:t>.</w:t>
      </w:r>
      <w:r w:rsidR="00DD4440" w:rsidRPr="00413148">
        <w:rPr>
          <w:rStyle w:val="CommentReference"/>
          <w:rFonts w:cs="Arial"/>
          <w:sz w:val="32"/>
          <w:szCs w:val="32"/>
        </w:rPr>
        <w:t xml:space="preserve"> However, there is a valid defense to a disparate impact claim where the technology used has a significant relationship to a significant business objective.</w:t>
      </w:r>
      <w:r w:rsidR="00BE4EB7" w:rsidRPr="00413148">
        <w:rPr>
          <w:rStyle w:val="FootnoteReference"/>
          <w:rFonts w:cs="Arial"/>
          <w:szCs w:val="32"/>
        </w:rPr>
        <w:footnoteReference w:id="49"/>
      </w:r>
    </w:p>
    <w:p w14:paraId="5E1DD6FB" w14:textId="77777777" w:rsidR="00C24B0A" w:rsidRPr="00413148" w:rsidRDefault="00C24B0A" w:rsidP="00E1149A">
      <w:pPr>
        <w:rPr>
          <w:rStyle w:val="CommentReference"/>
          <w:rFonts w:cs="Arial"/>
          <w:sz w:val="32"/>
          <w:szCs w:val="32"/>
        </w:rPr>
      </w:pPr>
    </w:p>
    <w:p w14:paraId="39CD30FA" w14:textId="77777777" w:rsidR="00C24B0A" w:rsidRPr="00413148" w:rsidRDefault="00C24B0A" w:rsidP="00113630">
      <w:pPr>
        <w:pStyle w:val="ListParagraph"/>
        <w:numPr>
          <w:ilvl w:val="0"/>
          <w:numId w:val="1"/>
        </w:numPr>
        <w:rPr>
          <w:rStyle w:val="CommentReference"/>
          <w:rFonts w:cs="Arial"/>
          <w:sz w:val="32"/>
          <w:szCs w:val="32"/>
        </w:rPr>
      </w:pPr>
      <w:r w:rsidRPr="00413148">
        <w:rPr>
          <w:rStyle w:val="CommentReference"/>
          <w:rFonts w:cs="Arial"/>
          <w:sz w:val="32"/>
          <w:szCs w:val="32"/>
        </w:rPr>
        <w:t>The use of technology in employment may constitute unlawful discrimination</w:t>
      </w:r>
      <w:r w:rsidR="001546F7" w:rsidRPr="00413148">
        <w:rPr>
          <w:rStyle w:val="CommentReference"/>
          <w:rFonts w:cs="Arial"/>
          <w:sz w:val="32"/>
          <w:szCs w:val="32"/>
        </w:rPr>
        <w:t xml:space="preserve"> under the NYCHRL</w:t>
      </w:r>
      <w:r w:rsidRPr="00413148">
        <w:rPr>
          <w:rStyle w:val="CommentReference"/>
          <w:rFonts w:cs="Arial"/>
          <w:sz w:val="32"/>
          <w:szCs w:val="32"/>
        </w:rPr>
        <w:t xml:space="preserve"> if the employer does not allow for people to request reasonable accommodations in order to use the application or </w:t>
      </w:r>
      <w:r w:rsidR="3A9F1684" w:rsidRPr="00413148">
        <w:rPr>
          <w:rStyle w:val="CommentReference"/>
          <w:rFonts w:cs="Arial"/>
          <w:sz w:val="32"/>
          <w:szCs w:val="32"/>
        </w:rPr>
        <w:t xml:space="preserve">offer </w:t>
      </w:r>
      <w:r w:rsidRPr="00413148">
        <w:rPr>
          <w:rStyle w:val="CommentReference"/>
          <w:rFonts w:cs="Arial"/>
          <w:sz w:val="32"/>
          <w:szCs w:val="32"/>
        </w:rPr>
        <w:t>an alternative method to apply for positions</w:t>
      </w:r>
      <w:r w:rsidR="001546F7" w:rsidRPr="00413148">
        <w:rPr>
          <w:rStyle w:val="CommentReference"/>
          <w:rFonts w:cs="Arial"/>
          <w:sz w:val="32"/>
          <w:szCs w:val="32"/>
        </w:rPr>
        <w:t>, and</w:t>
      </w:r>
      <w:r w:rsidRPr="00413148">
        <w:rPr>
          <w:rStyle w:val="CommentReference"/>
          <w:rFonts w:cs="Arial"/>
          <w:sz w:val="32"/>
          <w:szCs w:val="32"/>
        </w:rPr>
        <w:t xml:space="preserve"> </w:t>
      </w:r>
      <w:r w:rsidR="001546F7" w:rsidRPr="00413148">
        <w:rPr>
          <w:rStyle w:val="CommentReference"/>
          <w:rFonts w:cs="Arial"/>
          <w:sz w:val="32"/>
          <w:szCs w:val="32"/>
        </w:rPr>
        <w:t>t</w:t>
      </w:r>
      <w:r w:rsidR="006D47EB" w:rsidRPr="00413148">
        <w:rPr>
          <w:rStyle w:val="CommentReference"/>
          <w:rFonts w:cs="Arial"/>
          <w:sz w:val="32"/>
          <w:szCs w:val="32"/>
        </w:rPr>
        <w:t>he NYC Administrative Code prohibits employers from using automated employment decision tools to screen a candidate or employee for an employment decision unless such tool has been the subject of a bias audit.</w:t>
      </w:r>
      <w:r w:rsidR="00F84C14" w:rsidRPr="00413148">
        <w:rPr>
          <w:rStyle w:val="FootnoteReference"/>
          <w:rFonts w:cs="Arial"/>
        </w:rPr>
        <w:footnoteReference w:id="50"/>
      </w:r>
      <w:r w:rsidR="006D47EB" w:rsidRPr="00413148">
        <w:rPr>
          <w:rStyle w:val="CommentReference"/>
          <w:rFonts w:cs="Arial"/>
          <w:sz w:val="32"/>
          <w:szCs w:val="32"/>
        </w:rPr>
        <w:t xml:space="preserve"> </w:t>
      </w:r>
      <w:r w:rsidRPr="00413148">
        <w:rPr>
          <w:rStyle w:val="CommentReference"/>
          <w:rFonts w:cs="Arial"/>
          <w:sz w:val="32"/>
          <w:szCs w:val="32"/>
        </w:rPr>
        <w:t xml:space="preserve">Similarly, if an </w:t>
      </w:r>
      <w:r w:rsidRPr="00413148">
        <w:rPr>
          <w:rStyle w:val="CommentReference"/>
          <w:rFonts w:cs="Arial"/>
          <w:sz w:val="32"/>
          <w:szCs w:val="32"/>
        </w:rPr>
        <w:lastRenderedPageBreak/>
        <w:t xml:space="preserve">algorithm rejects applicants with disabilities, its use may </w:t>
      </w:r>
      <w:r w:rsidR="12663C3F" w:rsidRPr="00413148">
        <w:rPr>
          <w:rStyle w:val="CommentReference"/>
          <w:rFonts w:cs="Arial"/>
          <w:sz w:val="32"/>
          <w:szCs w:val="32"/>
        </w:rPr>
        <w:t>result in</w:t>
      </w:r>
      <w:r w:rsidRPr="00413148">
        <w:rPr>
          <w:rStyle w:val="CommentReference"/>
          <w:rFonts w:cs="Arial"/>
          <w:sz w:val="32"/>
          <w:szCs w:val="32"/>
        </w:rPr>
        <w:t xml:space="preserve"> discrimination</w:t>
      </w:r>
      <w:r w:rsidR="00C41C12" w:rsidRPr="00413148">
        <w:rPr>
          <w:rStyle w:val="CommentReference"/>
          <w:rFonts w:cs="Arial"/>
          <w:sz w:val="32"/>
          <w:szCs w:val="32"/>
        </w:rPr>
        <w:t>.</w:t>
      </w:r>
      <w:r w:rsidR="00386548" w:rsidRPr="00413148">
        <w:rPr>
          <w:rStyle w:val="CommentReference"/>
          <w:rFonts w:cs="Arial"/>
          <w:sz w:val="32"/>
          <w:szCs w:val="32"/>
        </w:rPr>
        <w:t xml:space="preserve"> </w:t>
      </w:r>
      <w:r w:rsidR="001421E1" w:rsidRPr="00413148">
        <w:rPr>
          <w:rStyle w:val="CommentReference"/>
          <w:rFonts w:cs="Arial"/>
          <w:sz w:val="32"/>
          <w:szCs w:val="32"/>
        </w:rPr>
        <w:t>E</w:t>
      </w:r>
      <w:r w:rsidR="00386548" w:rsidRPr="00413148">
        <w:rPr>
          <w:rStyle w:val="CommentReference"/>
          <w:rFonts w:cs="Arial"/>
          <w:sz w:val="32"/>
          <w:szCs w:val="32"/>
        </w:rPr>
        <w:t>mployer</w:t>
      </w:r>
      <w:r w:rsidR="001421E1" w:rsidRPr="00413148">
        <w:rPr>
          <w:rStyle w:val="CommentReference"/>
          <w:rFonts w:cs="Arial"/>
          <w:sz w:val="32"/>
          <w:szCs w:val="32"/>
        </w:rPr>
        <w:t xml:space="preserve">s should </w:t>
      </w:r>
      <w:r w:rsidR="00581C11" w:rsidRPr="00413148">
        <w:rPr>
          <w:rStyle w:val="CommentReference"/>
          <w:rFonts w:cs="Arial"/>
          <w:sz w:val="32"/>
          <w:szCs w:val="32"/>
        </w:rPr>
        <w:t xml:space="preserve">have </w:t>
      </w:r>
      <w:r w:rsidR="00862896" w:rsidRPr="00413148">
        <w:rPr>
          <w:rStyle w:val="CommentReference"/>
          <w:rFonts w:cs="Arial"/>
          <w:sz w:val="32"/>
          <w:szCs w:val="32"/>
        </w:rPr>
        <w:t>mechanisms or measures in place</w:t>
      </w:r>
      <w:r w:rsidR="00386548" w:rsidRPr="00413148">
        <w:rPr>
          <w:rStyle w:val="CommentReference"/>
          <w:rFonts w:cs="Arial"/>
          <w:sz w:val="32"/>
          <w:szCs w:val="32"/>
        </w:rPr>
        <w:t xml:space="preserve"> </w:t>
      </w:r>
      <w:r w:rsidR="001E7050" w:rsidRPr="00413148">
        <w:rPr>
          <w:rStyle w:val="CommentReference"/>
          <w:rFonts w:cs="Arial"/>
          <w:sz w:val="32"/>
          <w:szCs w:val="32"/>
        </w:rPr>
        <w:t>t</w:t>
      </w:r>
      <w:r w:rsidR="00401DC6" w:rsidRPr="00413148">
        <w:rPr>
          <w:rStyle w:val="CommentReference"/>
          <w:rFonts w:cs="Arial"/>
          <w:sz w:val="32"/>
          <w:szCs w:val="32"/>
        </w:rPr>
        <w:t>o ensure</w:t>
      </w:r>
      <w:r w:rsidR="00386548" w:rsidRPr="00413148">
        <w:rPr>
          <w:rStyle w:val="CommentReference"/>
          <w:rFonts w:cs="Arial"/>
          <w:sz w:val="32"/>
          <w:szCs w:val="32"/>
        </w:rPr>
        <w:t xml:space="preserve"> that employment decisions are not </w:t>
      </w:r>
      <w:r w:rsidR="00467F41" w:rsidRPr="00413148">
        <w:rPr>
          <w:rStyle w:val="CommentReference"/>
          <w:rFonts w:cs="Arial"/>
          <w:sz w:val="32"/>
          <w:szCs w:val="32"/>
        </w:rPr>
        <w:t xml:space="preserve">unlawfully </w:t>
      </w:r>
      <w:proofErr w:type="gramStart"/>
      <w:r w:rsidR="004D2B56" w:rsidRPr="00413148">
        <w:rPr>
          <w:rStyle w:val="CommentReference"/>
          <w:rFonts w:cs="Arial"/>
          <w:sz w:val="32"/>
          <w:szCs w:val="32"/>
        </w:rPr>
        <w:t>discriminating</w:t>
      </w:r>
      <w:proofErr w:type="gramEnd"/>
      <w:r w:rsidR="00386548" w:rsidRPr="00413148">
        <w:rPr>
          <w:rStyle w:val="CommentReference"/>
          <w:rFonts w:cs="Arial"/>
          <w:sz w:val="32"/>
          <w:szCs w:val="32"/>
        </w:rPr>
        <w:t xml:space="preserve"> </w:t>
      </w:r>
      <w:proofErr w:type="gramStart"/>
      <w:r w:rsidR="00386548" w:rsidRPr="00413148">
        <w:rPr>
          <w:rStyle w:val="CommentReference"/>
          <w:rFonts w:cs="Arial"/>
          <w:sz w:val="32"/>
          <w:szCs w:val="32"/>
        </w:rPr>
        <w:t xml:space="preserve">on </w:t>
      </w:r>
      <w:r w:rsidR="004D2B56" w:rsidRPr="00413148">
        <w:rPr>
          <w:rStyle w:val="CommentReference"/>
          <w:rFonts w:cs="Arial"/>
          <w:sz w:val="32"/>
          <w:szCs w:val="32"/>
        </w:rPr>
        <w:t>the basis of</w:t>
      </w:r>
      <w:proofErr w:type="gramEnd"/>
      <w:r w:rsidR="00386548" w:rsidRPr="00413148">
        <w:rPr>
          <w:rStyle w:val="CommentReference"/>
          <w:rFonts w:cs="Arial"/>
          <w:sz w:val="32"/>
          <w:szCs w:val="32"/>
        </w:rPr>
        <w:t xml:space="preserve"> disability</w:t>
      </w:r>
      <w:r w:rsidRPr="00413148">
        <w:rPr>
          <w:rStyle w:val="CommentReference"/>
          <w:rFonts w:cs="Arial"/>
          <w:sz w:val="32"/>
          <w:szCs w:val="32"/>
        </w:rPr>
        <w:t>. Employers, employment agencies, and their agents can be liable under the NYCHRL for discrimination that results from the use of technology or AI.</w:t>
      </w:r>
      <w:r w:rsidR="00E26D37" w:rsidRPr="00413148">
        <w:rPr>
          <w:rStyle w:val="FootnoteReference"/>
          <w:rFonts w:cs="Arial"/>
        </w:rPr>
        <w:footnoteReference w:id="51"/>
      </w:r>
    </w:p>
    <w:p w14:paraId="22B8467E" w14:textId="77777777" w:rsidR="00C24B0A" w:rsidRPr="00413148" w:rsidRDefault="00F85C89" w:rsidP="00113630">
      <w:pPr>
        <w:pStyle w:val="ListParagraph"/>
        <w:numPr>
          <w:ilvl w:val="0"/>
          <w:numId w:val="1"/>
        </w:numPr>
        <w:tabs>
          <w:tab w:val="left" w:pos="810"/>
        </w:tabs>
        <w:rPr>
          <w:rStyle w:val="CommentReference"/>
          <w:rFonts w:cs="Arial"/>
          <w:sz w:val="32"/>
          <w:szCs w:val="32"/>
        </w:rPr>
      </w:pPr>
      <w:r w:rsidRPr="00413148">
        <w:rPr>
          <w:rStyle w:val="CommentReference"/>
          <w:rFonts w:cs="Arial"/>
          <w:sz w:val="32"/>
          <w:szCs w:val="32"/>
        </w:rPr>
        <w:t>Housing providers and their agents can be liable under the NYCHRL for discrimination that results from the use of technology or AI.</w:t>
      </w:r>
      <w:r w:rsidRPr="00413148">
        <w:rPr>
          <w:rStyle w:val="FootnoteReference"/>
          <w:rFonts w:cs="Arial"/>
        </w:rPr>
        <w:footnoteReference w:id="52"/>
      </w:r>
      <w:r w:rsidR="00C24B0A" w:rsidRPr="00413148">
        <w:rPr>
          <w:rStyle w:val="CommentReference"/>
          <w:rFonts w:cs="Arial"/>
          <w:sz w:val="32"/>
          <w:szCs w:val="32"/>
        </w:rPr>
        <w:t xml:space="preserve"> For example, virtual doormen may be installed at heights that prevent individuals who use wheelchairs from being captured by the video camera or reaching the keypad, and facial recognition software that screens visitors may not recognize and permit individuals with certain disabilities.</w:t>
      </w:r>
      <w:r w:rsidR="004F35C3" w:rsidRPr="00413148">
        <w:rPr>
          <w:rStyle w:val="FootnoteReference"/>
          <w:rFonts w:cs="Arial"/>
        </w:rPr>
        <w:footnoteReference w:id="53"/>
      </w:r>
      <w:r w:rsidR="00C24B0A" w:rsidRPr="00413148">
        <w:rPr>
          <w:rStyle w:val="CommentReference"/>
          <w:rFonts w:cs="Arial"/>
          <w:sz w:val="32"/>
          <w:szCs w:val="32"/>
        </w:rPr>
        <w:t xml:space="preserve"> </w:t>
      </w:r>
    </w:p>
    <w:p w14:paraId="0ED3E70E" w14:textId="1524BB6B" w:rsidR="00C24B0A" w:rsidRPr="00413148" w:rsidRDefault="1B3EE6A4" w:rsidP="00113630">
      <w:pPr>
        <w:pStyle w:val="ListParagraph"/>
        <w:numPr>
          <w:ilvl w:val="0"/>
          <w:numId w:val="1"/>
        </w:numPr>
        <w:rPr>
          <w:rStyle w:val="CommentReference"/>
          <w:rFonts w:cs="Arial"/>
          <w:sz w:val="32"/>
          <w:szCs w:val="32"/>
        </w:rPr>
      </w:pPr>
      <w:r w:rsidRPr="00413148">
        <w:rPr>
          <w:rStyle w:val="CommentReference"/>
          <w:rFonts w:cs="Arial"/>
          <w:sz w:val="32"/>
          <w:szCs w:val="32"/>
        </w:rPr>
        <w:t xml:space="preserve">Public accommodations likewise must make sure that technology or </w:t>
      </w:r>
      <w:r w:rsidR="338A1A8D" w:rsidRPr="00413148">
        <w:rPr>
          <w:rStyle w:val="CommentReference"/>
          <w:rFonts w:cs="Arial"/>
          <w:sz w:val="32"/>
          <w:szCs w:val="32"/>
        </w:rPr>
        <w:t>AI</w:t>
      </w:r>
      <w:r w:rsidRPr="00413148">
        <w:rPr>
          <w:rStyle w:val="CommentReference"/>
          <w:rFonts w:cs="Arial"/>
          <w:sz w:val="32"/>
          <w:szCs w:val="32"/>
        </w:rPr>
        <w:t xml:space="preserve"> they utilize </w:t>
      </w:r>
      <w:r w:rsidR="6B66EF4D" w:rsidRPr="00413148">
        <w:rPr>
          <w:rStyle w:val="CommentReference"/>
          <w:rFonts w:cs="Arial"/>
          <w:sz w:val="32"/>
          <w:szCs w:val="32"/>
        </w:rPr>
        <w:t xml:space="preserve">is not used in a manner that </w:t>
      </w:r>
      <w:r w:rsidRPr="00413148">
        <w:rPr>
          <w:rStyle w:val="CommentReference"/>
          <w:rFonts w:cs="Arial"/>
          <w:sz w:val="32"/>
          <w:szCs w:val="32"/>
        </w:rPr>
        <w:t>discriminate</w:t>
      </w:r>
      <w:r w:rsidRPr="00413148">
        <w:rPr>
          <w:rStyle w:val="CommentReference"/>
          <w:rFonts w:cs="Arial"/>
          <w:strike/>
          <w:sz w:val="32"/>
          <w:szCs w:val="32"/>
        </w:rPr>
        <w:t>s</w:t>
      </w:r>
      <w:r w:rsidRPr="00413148">
        <w:rPr>
          <w:rStyle w:val="CommentReference"/>
          <w:rFonts w:cs="Arial"/>
          <w:sz w:val="32"/>
          <w:szCs w:val="32"/>
        </w:rPr>
        <w:t xml:space="preserve"> against individuals with disabilities.</w:t>
      </w:r>
      <w:r w:rsidR="00B73E4D" w:rsidRPr="00413148">
        <w:rPr>
          <w:rStyle w:val="FootnoteReference"/>
          <w:rFonts w:cs="Arial"/>
        </w:rPr>
        <w:footnoteReference w:id="54"/>
      </w:r>
      <w:r w:rsidRPr="00413148">
        <w:rPr>
          <w:rStyle w:val="CommentReference"/>
          <w:rFonts w:cs="Arial"/>
          <w:sz w:val="32"/>
          <w:szCs w:val="32"/>
        </w:rPr>
        <w:t xml:space="preserve"> </w:t>
      </w:r>
      <w:r w:rsidR="7F599E0B" w:rsidRPr="00413148">
        <w:rPr>
          <w:rStyle w:val="CommentReference"/>
          <w:rFonts w:cs="Arial"/>
          <w:sz w:val="32"/>
          <w:szCs w:val="32"/>
        </w:rPr>
        <w:t>Businesses and public venues that utilize facial recognition technology, and public accommodations that use algorithms to automate application selection processes should not employ this technology in ways that violate the NYCHRL.</w:t>
      </w:r>
      <w:r w:rsidR="00785C4F" w:rsidRPr="00413148">
        <w:rPr>
          <w:rStyle w:val="FootnoteReference"/>
          <w:rFonts w:cs="Arial"/>
        </w:rPr>
        <w:footnoteReference w:id="55"/>
      </w:r>
      <w:r w:rsidR="205D2542" w:rsidRPr="00413148">
        <w:rPr>
          <w:rStyle w:val="CommentReference"/>
          <w:rFonts w:cs="Arial"/>
          <w:sz w:val="32"/>
          <w:szCs w:val="32"/>
        </w:rPr>
        <w:t xml:space="preserve"> Public accommodations</w:t>
      </w:r>
      <w:r w:rsidRPr="00413148">
        <w:rPr>
          <w:rStyle w:val="CommentReference"/>
          <w:rFonts w:cs="Arial"/>
          <w:sz w:val="32"/>
          <w:szCs w:val="32"/>
        </w:rPr>
        <w:t xml:space="preserve"> must ensure that they have policies and processes in place to provide reasonable accommodations to patrons with disabilities to </w:t>
      </w:r>
      <w:r w:rsidR="2162ECB3" w:rsidRPr="00413148">
        <w:rPr>
          <w:rStyle w:val="CommentReference"/>
          <w:rFonts w:cs="Arial"/>
          <w:sz w:val="32"/>
          <w:szCs w:val="32"/>
        </w:rPr>
        <w:t>foster</w:t>
      </w:r>
      <w:r w:rsidR="7F625686" w:rsidRPr="00413148">
        <w:rPr>
          <w:rStyle w:val="CommentReference"/>
          <w:rFonts w:cs="Arial"/>
          <w:sz w:val="32"/>
          <w:szCs w:val="32"/>
        </w:rPr>
        <w:t xml:space="preserve"> full and equal enjoyment of the services of </w:t>
      </w:r>
      <w:r w:rsidR="5AFEB946" w:rsidRPr="00413148">
        <w:rPr>
          <w:rStyle w:val="CommentReference"/>
          <w:rFonts w:cs="Arial"/>
          <w:sz w:val="32"/>
          <w:szCs w:val="32"/>
        </w:rPr>
        <w:t xml:space="preserve">the </w:t>
      </w:r>
      <w:r w:rsidRPr="00413148">
        <w:rPr>
          <w:rStyle w:val="CommentReference"/>
          <w:rFonts w:cs="Arial"/>
          <w:sz w:val="32"/>
          <w:szCs w:val="32"/>
        </w:rPr>
        <w:t xml:space="preserve">public </w:t>
      </w:r>
      <w:r w:rsidRPr="00413148">
        <w:rPr>
          <w:rStyle w:val="CommentReference"/>
          <w:rFonts w:cs="Arial"/>
          <w:sz w:val="32"/>
          <w:szCs w:val="32"/>
        </w:rPr>
        <w:lastRenderedPageBreak/>
        <w:t>accommodation</w:t>
      </w:r>
      <w:r w:rsidR="7F625686" w:rsidRPr="00413148">
        <w:rPr>
          <w:rStyle w:val="CommentReference"/>
          <w:rFonts w:cs="Arial"/>
          <w:sz w:val="32"/>
          <w:szCs w:val="32"/>
        </w:rPr>
        <w:t>s</w:t>
      </w:r>
      <w:r w:rsidR="007C3D6C" w:rsidRPr="00413148">
        <w:rPr>
          <w:rStyle w:val="CommentReference"/>
          <w:rFonts w:cs="Arial"/>
          <w:sz w:val="32"/>
          <w:szCs w:val="32"/>
        </w:rPr>
        <w:t>,</w:t>
      </w:r>
      <w:r w:rsidR="664A8C8B" w:rsidRPr="00413148">
        <w:rPr>
          <w:rStyle w:val="CommentReference"/>
          <w:rFonts w:cs="Arial"/>
          <w:sz w:val="32"/>
          <w:szCs w:val="32"/>
        </w:rPr>
        <w:t xml:space="preserve"> unless doing so causes</w:t>
      </w:r>
      <w:r w:rsidR="00D9540D" w:rsidRPr="00413148">
        <w:rPr>
          <w:rStyle w:val="CommentReference"/>
          <w:rFonts w:cs="Arial"/>
          <w:sz w:val="32"/>
          <w:szCs w:val="32"/>
        </w:rPr>
        <w:t xml:space="preserve"> or would cause</w:t>
      </w:r>
      <w:r w:rsidR="664A8C8B" w:rsidRPr="00413148">
        <w:rPr>
          <w:rStyle w:val="CommentReference"/>
          <w:rFonts w:cs="Arial"/>
          <w:sz w:val="32"/>
          <w:szCs w:val="32"/>
        </w:rPr>
        <w:t xml:space="preserve"> an undue hardship</w:t>
      </w:r>
      <w:r w:rsidRPr="00413148">
        <w:rPr>
          <w:rStyle w:val="CommentReference"/>
          <w:rFonts w:cs="Arial"/>
          <w:sz w:val="32"/>
          <w:szCs w:val="32"/>
        </w:rPr>
        <w:t>.</w:t>
      </w:r>
      <w:r w:rsidR="00785C4F" w:rsidRPr="00413148">
        <w:rPr>
          <w:rStyle w:val="FootnoteReference"/>
          <w:rFonts w:cs="Arial"/>
        </w:rPr>
        <w:footnoteReference w:id="56"/>
      </w:r>
      <w:r w:rsidRPr="00413148">
        <w:rPr>
          <w:rStyle w:val="CommentReference"/>
          <w:rFonts w:cs="Arial"/>
          <w:sz w:val="32"/>
          <w:szCs w:val="32"/>
        </w:rPr>
        <w:t xml:space="preserve"> </w:t>
      </w:r>
    </w:p>
    <w:p w14:paraId="7253B41D" w14:textId="77777777" w:rsidR="00C24B0A" w:rsidRPr="00413148" w:rsidRDefault="00C24B0A" w:rsidP="00E1149A"/>
    <w:p w14:paraId="1031A6F0" w14:textId="78D755BF" w:rsidR="00D776C2" w:rsidRPr="00413148" w:rsidRDefault="00D776C2" w:rsidP="00113630">
      <w:pPr>
        <w:pStyle w:val="Heading2"/>
        <w:numPr>
          <w:ilvl w:val="0"/>
          <w:numId w:val="19"/>
        </w:numPr>
        <w:spacing w:before="0" w:after="0"/>
        <w:ind w:left="450" w:hanging="450"/>
        <w:rPr>
          <w:b/>
          <w:bCs/>
          <w:color w:val="4B0082"/>
          <w:sz w:val="36"/>
          <w:szCs w:val="36"/>
        </w:rPr>
      </w:pPr>
      <w:bookmarkStart w:id="23" w:name="_Toc218083743"/>
      <w:r w:rsidRPr="00413148">
        <w:rPr>
          <w:rFonts w:ascii="Arial" w:hAnsi="Arial" w:cs="Arial"/>
          <w:b/>
          <w:color w:val="4B0082"/>
          <w:sz w:val="36"/>
          <w:szCs w:val="36"/>
        </w:rPr>
        <w:t>Reasonable Accommodations</w:t>
      </w:r>
      <w:bookmarkEnd w:id="23"/>
    </w:p>
    <w:p w14:paraId="5BDDF5F7" w14:textId="77777777" w:rsidR="00C24B0A" w:rsidRPr="00413148" w:rsidRDefault="00C24B0A" w:rsidP="00E1149A"/>
    <w:p w14:paraId="6D31E815" w14:textId="77777777" w:rsidR="00D776C2" w:rsidRPr="00413148" w:rsidRDefault="00D776C2" w:rsidP="003F388D">
      <w:r w:rsidRPr="00413148">
        <w:t>Under the NYCHRL, employers, housing providers, and places of public accommodation have an obligation to make reasonable accommodations</w:t>
      </w:r>
      <w:r w:rsidR="73E2F022" w:rsidRPr="00413148">
        <w:t xml:space="preserve"> that meet</w:t>
      </w:r>
      <w:r w:rsidR="00F7180F" w:rsidRPr="00413148">
        <w:t xml:space="preserve"> the needs</w:t>
      </w:r>
      <w:r w:rsidR="00532A5A" w:rsidRPr="00413148">
        <w:t xml:space="preserve"> of the individual or individuals that request</w:t>
      </w:r>
      <w:r w:rsidR="00326327" w:rsidRPr="00413148">
        <w:t xml:space="preserve"> reasonable accommodations</w:t>
      </w:r>
      <w:r w:rsidR="00D96F32" w:rsidRPr="00413148">
        <w:t>.</w:t>
      </w:r>
    </w:p>
    <w:p w14:paraId="18387618" w14:textId="77777777" w:rsidR="00E1149A" w:rsidRPr="00413148" w:rsidRDefault="00E1149A" w:rsidP="003F388D"/>
    <w:p w14:paraId="2EA1684A" w14:textId="77777777" w:rsidR="00D776C2" w:rsidRPr="00413148" w:rsidRDefault="00D776C2" w:rsidP="00113630">
      <w:pPr>
        <w:pStyle w:val="ListParagraph"/>
        <w:numPr>
          <w:ilvl w:val="0"/>
          <w:numId w:val="30"/>
        </w:numPr>
      </w:pPr>
      <w:r w:rsidRPr="00413148">
        <w:t xml:space="preserve">In employment, reasonable accommodations enable </w:t>
      </w:r>
      <w:r w:rsidR="00EA6B3F" w:rsidRPr="00413148">
        <w:t>person</w:t>
      </w:r>
      <w:r w:rsidRPr="00413148">
        <w:t>s with disabilities “to satisfy the essential requisites of a job</w:t>
      </w:r>
      <w:r w:rsidR="673B917B" w:rsidRPr="00413148">
        <w:t>.</w:t>
      </w:r>
      <w:r w:rsidRPr="00413148">
        <w:t>”</w:t>
      </w:r>
      <w:r w:rsidR="00CA6BD3" w:rsidRPr="00413148">
        <w:rPr>
          <w:rStyle w:val="FootnoteReference"/>
        </w:rPr>
        <w:footnoteReference w:id="57"/>
      </w:r>
      <w:r w:rsidRPr="00413148">
        <w:t xml:space="preserve"> </w:t>
      </w:r>
    </w:p>
    <w:p w14:paraId="012A9FB3" w14:textId="77777777" w:rsidR="00D96F32" w:rsidRPr="00413148" w:rsidRDefault="7A5EF05B" w:rsidP="00113630">
      <w:pPr>
        <w:pStyle w:val="ListParagraph"/>
        <w:numPr>
          <w:ilvl w:val="0"/>
          <w:numId w:val="30"/>
        </w:numPr>
      </w:pPr>
      <w:r w:rsidRPr="00413148">
        <w:t>I</w:t>
      </w:r>
      <w:r w:rsidR="00D776C2" w:rsidRPr="00413148">
        <w:t>n employment, housing</w:t>
      </w:r>
      <w:r w:rsidR="00D85E43" w:rsidRPr="00413148">
        <w:t>,</w:t>
      </w:r>
      <w:r w:rsidR="00D776C2" w:rsidRPr="00413148">
        <w:t xml:space="preserve"> and public </w:t>
      </w:r>
      <w:r w:rsidR="00D85E43" w:rsidRPr="00413148">
        <w:t>accommodation</w:t>
      </w:r>
      <w:r w:rsidR="00D776C2" w:rsidRPr="00413148">
        <w:t xml:space="preserve">s, reasonable accommodations enable persons with disabilities </w:t>
      </w:r>
      <w:r w:rsidR="00221718" w:rsidRPr="00413148">
        <w:t>“</w:t>
      </w:r>
      <w:r w:rsidR="00D776C2" w:rsidRPr="00413148">
        <w:t>to enjoy the right or rights in question.”</w:t>
      </w:r>
      <w:r w:rsidR="000556B8" w:rsidRPr="00413148">
        <w:rPr>
          <w:rStyle w:val="FootnoteReference"/>
        </w:rPr>
        <w:footnoteReference w:id="58"/>
      </w:r>
      <w:r w:rsidR="00D776C2" w:rsidRPr="00413148">
        <w:t xml:space="preserve"> </w:t>
      </w:r>
    </w:p>
    <w:p w14:paraId="5B3D4E13" w14:textId="77777777" w:rsidR="00D85E43" w:rsidRPr="00413148" w:rsidRDefault="008761ED" w:rsidP="00113630">
      <w:pPr>
        <w:pStyle w:val="ListParagraph"/>
        <w:numPr>
          <w:ilvl w:val="0"/>
          <w:numId w:val="30"/>
        </w:numPr>
      </w:pPr>
      <w:r w:rsidRPr="00413148">
        <w:t>In public accommodations</w:t>
      </w:r>
      <w:r w:rsidR="006F14F6" w:rsidRPr="00413148">
        <w:t>,</w:t>
      </w:r>
      <w:r w:rsidRPr="00413148">
        <w:t xml:space="preserve"> reasonable accommodations </w:t>
      </w:r>
      <w:r w:rsidR="00DD0CA0" w:rsidRPr="00413148">
        <w:t>enable</w:t>
      </w:r>
      <w:r w:rsidR="00EA6B3F" w:rsidRPr="00413148">
        <w:t xml:space="preserve"> person</w:t>
      </w:r>
      <w:r w:rsidR="007C011A" w:rsidRPr="00413148">
        <w:t>s</w:t>
      </w:r>
      <w:r w:rsidR="00EA6B3F" w:rsidRPr="00413148">
        <w:t xml:space="preserve"> with disabilities</w:t>
      </w:r>
      <w:r w:rsidRPr="00413148">
        <w:t xml:space="preserve"> </w:t>
      </w:r>
      <w:r w:rsidR="00BD2F2F" w:rsidRPr="00413148">
        <w:t xml:space="preserve">to </w:t>
      </w:r>
      <w:r w:rsidR="00074690" w:rsidRPr="00413148">
        <w:t xml:space="preserve">enjoy </w:t>
      </w:r>
      <w:r w:rsidR="00554DCF" w:rsidRPr="00413148">
        <w:t xml:space="preserve">the </w:t>
      </w:r>
      <w:r w:rsidR="00BE34AE" w:rsidRPr="00413148">
        <w:t>“</w:t>
      </w:r>
      <w:r w:rsidR="00554DCF" w:rsidRPr="00413148">
        <w:t>full and</w:t>
      </w:r>
      <w:r w:rsidR="003B1CF0" w:rsidRPr="00413148">
        <w:t xml:space="preserve"> equal </w:t>
      </w:r>
      <w:r w:rsidRPr="00413148">
        <w:t>enjoyment</w:t>
      </w:r>
      <w:r w:rsidR="006C2915" w:rsidRPr="00413148">
        <w:t>,</w:t>
      </w:r>
      <w:r w:rsidRPr="00413148">
        <w:t xml:space="preserve"> on equal terms and conditions</w:t>
      </w:r>
      <w:r w:rsidR="006C2915" w:rsidRPr="00413148">
        <w:t>,</w:t>
      </w:r>
      <w:r w:rsidR="002A17B5" w:rsidRPr="00413148">
        <w:t xml:space="preserve"> </w:t>
      </w:r>
      <w:r w:rsidR="006C2915" w:rsidRPr="00413148">
        <w:t xml:space="preserve">of any of the public accommodation’s </w:t>
      </w:r>
      <w:r w:rsidR="0059670A" w:rsidRPr="00413148">
        <w:t>accommodations, advantages, services, facilities, or privileges</w:t>
      </w:r>
      <w:r w:rsidRPr="00413148">
        <w:t>.</w:t>
      </w:r>
      <w:r w:rsidR="00BE34AE" w:rsidRPr="00413148">
        <w:t>”</w:t>
      </w:r>
      <w:r w:rsidRPr="00413148">
        <w:rPr>
          <w:rStyle w:val="FootnoteReference"/>
        </w:rPr>
        <w:footnoteReference w:id="59"/>
      </w:r>
    </w:p>
    <w:p w14:paraId="59E903A5" w14:textId="77777777" w:rsidR="00D776C2" w:rsidRPr="00413148" w:rsidRDefault="00D776C2" w:rsidP="003F388D"/>
    <w:p w14:paraId="5B3DC6F4" w14:textId="60E6AF7C" w:rsidR="00FD4116" w:rsidRPr="00413148" w:rsidRDefault="00D776C2" w:rsidP="00FD4116">
      <w:r w:rsidRPr="00413148">
        <w:t xml:space="preserve">The obligation to make a reasonable accommodation exists when "the disability is known or should </w:t>
      </w:r>
      <w:r w:rsidR="00327D45" w:rsidRPr="00413148">
        <w:t>be</w:t>
      </w:r>
      <w:r w:rsidRPr="00413148">
        <w:t xml:space="preserve"> known by the covered entity.”</w:t>
      </w:r>
      <w:r w:rsidRPr="00413148">
        <w:rPr>
          <w:rStyle w:val="FootnoteReference"/>
        </w:rPr>
        <w:footnoteReference w:id="60"/>
      </w:r>
      <w:r w:rsidRPr="00413148">
        <w:t xml:space="preserve"> Accommodations are considered reasonable unless a covered entity shows that providing an accommodation would cause it an “undue hardship.”</w:t>
      </w:r>
      <w:r w:rsidRPr="00413148">
        <w:rPr>
          <w:rStyle w:val="FootnoteReference"/>
        </w:rPr>
        <w:footnoteReference w:id="61"/>
      </w:r>
      <w:r w:rsidRPr="00413148">
        <w:t xml:space="preserve"> </w:t>
      </w:r>
      <w:r w:rsidR="00FD4116" w:rsidRPr="00413148">
        <w:t>In making a determination of undue hardship</w:t>
      </w:r>
      <w:r w:rsidR="63F8876A" w:rsidRPr="00413148">
        <w:t>,</w:t>
      </w:r>
      <w:r w:rsidR="00FD4116" w:rsidRPr="00413148">
        <w:t xml:space="preserve"> </w:t>
      </w:r>
      <w:r w:rsidR="0081185E" w:rsidRPr="00413148">
        <w:t>t</w:t>
      </w:r>
      <w:r w:rsidR="00FD4116" w:rsidRPr="00413148">
        <w:t xml:space="preserve">he </w:t>
      </w:r>
      <w:r w:rsidR="00FD4116" w:rsidRPr="00413148">
        <w:lastRenderedPageBreak/>
        <w:t>NYCHRL sets forth the following non-exhaustive list of factors</w:t>
      </w:r>
      <w:r w:rsidR="78028130" w:rsidRPr="00413148">
        <w:t xml:space="preserve"> that are relevant to an undue hardship determination</w:t>
      </w:r>
      <w:r w:rsidR="00FD4116" w:rsidRPr="00413148">
        <w:t>:</w:t>
      </w:r>
    </w:p>
    <w:p w14:paraId="365FB201" w14:textId="77777777" w:rsidR="00CA6682" w:rsidRPr="00413148" w:rsidRDefault="00CA6682" w:rsidP="00CA6682"/>
    <w:p w14:paraId="6C065BB3" w14:textId="77777777" w:rsidR="00FD4116" w:rsidRPr="00413148" w:rsidRDefault="00FD4116" w:rsidP="00113630">
      <w:pPr>
        <w:pStyle w:val="ListParagraph"/>
        <w:numPr>
          <w:ilvl w:val="0"/>
          <w:numId w:val="3"/>
        </w:numPr>
      </w:pPr>
      <w:r w:rsidRPr="00413148">
        <w:t xml:space="preserve">the nature and cost of the </w:t>
      </w:r>
      <w:proofErr w:type="gramStart"/>
      <w:r w:rsidRPr="00413148">
        <w:t>accommodation;</w:t>
      </w:r>
      <w:proofErr w:type="gramEnd"/>
    </w:p>
    <w:p w14:paraId="4AF8D2CB" w14:textId="77777777" w:rsidR="00FD4116" w:rsidRPr="00413148" w:rsidRDefault="00FD4116" w:rsidP="00113630">
      <w:pPr>
        <w:pStyle w:val="ListParagraph"/>
        <w:numPr>
          <w:ilvl w:val="0"/>
          <w:numId w:val="3"/>
        </w:numPr>
      </w:pPr>
      <w:r w:rsidRPr="00413148">
        <w:t xml:space="preserve">the overall financial resources of the facility or the facilities involved in the provision of </w:t>
      </w:r>
      <w:proofErr w:type="gramStart"/>
      <w:r w:rsidRPr="00413148">
        <w:t>the reasonable</w:t>
      </w:r>
      <w:proofErr w:type="gramEnd"/>
      <w:r w:rsidRPr="00413148">
        <w:t xml:space="preserve"> accommodation; the number of </w:t>
      </w:r>
      <w:proofErr w:type="gramStart"/>
      <w:r w:rsidRPr="00413148">
        <w:t>persons</w:t>
      </w:r>
      <w:proofErr w:type="gramEnd"/>
      <w:r w:rsidRPr="00413148">
        <w:t xml:space="preserve"> employed at such facility; the effect on expenses and resources, or the impact otherwise of such accommodation upon the operation of the </w:t>
      </w:r>
      <w:proofErr w:type="gramStart"/>
      <w:r w:rsidRPr="00413148">
        <w:t>facility;</w:t>
      </w:r>
      <w:proofErr w:type="gramEnd"/>
    </w:p>
    <w:p w14:paraId="46BB9DD2" w14:textId="77777777" w:rsidR="00FD4116" w:rsidRPr="00413148" w:rsidRDefault="00FD4116" w:rsidP="00113630">
      <w:pPr>
        <w:pStyle w:val="ListParagraph"/>
        <w:numPr>
          <w:ilvl w:val="0"/>
          <w:numId w:val="3"/>
        </w:numPr>
      </w:pPr>
      <w:r w:rsidRPr="00413148">
        <w:t>the overall financial resources of the covered entity; the overall size of the business of a covered entity with respect to the number of its employees; the number, type, and location of its facilities; and</w:t>
      </w:r>
    </w:p>
    <w:p w14:paraId="26A26698" w14:textId="77777777" w:rsidR="00E56C01" w:rsidRPr="00413148" w:rsidRDefault="00FD4116" w:rsidP="00113630">
      <w:pPr>
        <w:pStyle w:val="ListParagraph"/>
        <w:numPr>
          <w:ilvl w:val="0"/>
          <w:numId w:val="3"/>
        </w:numPr>
      </w:pPr>
      <w:r w:rsidRPr="00413148">
        <w:t>the type of operation or operations of the covered entity, including the composition, structure, and functions of the workforce of such entity; the geographic separateness, administrative, or fiscal relationship of the facility or facilities in question to the covered entity.</w:t>
      </w:r>
      <w:r w:rsidRPr="00413148">
        <w:rPr>
          <w:rStyle w:val="FootnoteReference"/>
        </w:rPr>
        <w:footnoteReference w:id="62"/>
      </w:r>
    </w:p>
    <w:p w14:paraId="3F469EE0" w14:textId="77777777" w:rsidR="00E56C01" w:rsidRPr="00413148" w:rsidRDefault="00E56C01" w:rsidP="003F388D"/>
    <w:p w14:paraId="1349C00F" w14:textId="7B82EAF3" w:rsidR="44E98845" w:rsidRPr="00413148" w:rsidRDefault="001F1EF5" w:rsidP="00CA6682">
      <w:r w:rsidRPr="00413148">
        <w:t xml:space="preserve">To establish a </w:t>
      </w:r>
      <w:r w:rsidRPr="00413148">
        <w:rPr>
          <w:i/>
          <w:iCs/>
        </w:rPr>
        <w:t>prima facie</w:t>
      </w:r>
      <w:r w:rsidRPr="00413148">
        <w:t xml:space="preserve"> </w:t>
      </w:r>
      <w:r w:rsidR="00DF5BEE" w:rsidRPr="00413148">
        <w:t xml:space="preserve">failure to accommodate </w:t>
      </w:r>
      <w:r w:rsidR="003E5052" w:rsidRPr="00413148">
        <w:t>claim</w:t>
      </w:r>
      <w:r w:rsidR="004303B0" w:rsidRPr="00413148">
        <w:t xml:space="preserve"> under the NYCHRL</w:t>
      </w:r>
      <w:r w:rsidR="00DF5BEE" w:rsidRPr="00413148">
        <w:t>, a</w:t>
      </w:r>
      <w:r w:rsidR="00D776C2" w:rsidRPr="00413148">
        <w:t xml:space="preserve">n employee, tenant, or </w:t>
      </w:r>
      <w:r w:rsidR="003A01BB" w:rsidRPr="00413148">
        <w:t>patron</w:t>
      </w:r>
      <w:r w:rsidR="00D776C2" w:rsidRPr="00413148">
        <w:t xml:space="preserve"> </w:t>
      </w:r>
      <w:r w:rsidR="0031137E" w:rsidRPr="00413148">
        <w:t>need</w:t>
      </w:r>
      <w:r w:rsidR="00D776C2" w:rsidRPr="00413148">
        <w:t xml:space="preserve"> only establish </w:t>
      </w:r>
      <w:r w:rsidR="0031137E" w:rsidRPr="00413148">
        <w:t>that</w:t>
      </w:r>
      <w:r w:rsidR="00D776C2" w:rsidRPr="00413148">
        <w:t>: (1) they have a disability; (2) the covered entity knew or should have known about the disability; (3) an accommodation would enable the employee, tenant, or customer to perform the essential requisites of the job or enjoy the rights in question; and (4) the covered entity failed to provide an accommodation.</w:t>
      </w:r>
      <w:r w:rsidR="00D776C2" w:rsidRPr="00413148">
        <w:rPr>
          <w:rStyle w:val="FootnoteReference"/>
        </w:rPr>
        <w:footnoteReference w:id="63"/>
      </w:r>
      <w:r w:rsidR="00D776C2" w:rsidRPr="00413148">
        <w:t xml:space="preserve"> The burden then shifts to the covered entity to show that the proposed reasonable accommodation would cause it an undue hardship. The NYCHRL standard is more protective </w:t>
      </w:r>
      <w:r w:rsidR="00D776C2" w:rsidRPr="00413148">
        <w:lastRenderedPageBreak/>
        <w:t xml:space="preserve">than </w:t>
      </w:r>
      <w:r w:rsidR="001A0F5B" w:rsidRPr="00413148">
        <w:t>other laws, including</w:t>
      </w:r>
      <w:r w:rsidR="00D776C2" w:rsidRPr="00413148">
        <w:t xml:space="preserve"> </w:t>
      </w:r>
      <w:r w:rsidR="009776A4" w:rsidRPr="00413148">
        <w:t>federal</w:t>
      </w:r>
      <w:r w:rsidR="0078192E" w:rsidRPr="00413148">
        <w:t xml:space="preserve"> laws like the</w:t>
      </w:r>
      <w:r w:rsidR="00D776C2" w:rsidRPr="00413148">
        <w:t xml:space="preserve"> ADA</w:t>
      </w:r>
      <w:r w:rsidR="001A0F5B" w:rsidRPr="00413148">
        <w:t xml:space="preserve"> and</w:t>
      </w:r>
      <w:r w:rsidR="00D776C2" w:rsidRPr="00413148">
        <w:t xml:space="preserve"> F</w:t>
      </w:r>
      <w:r w:rsidR="005E6C09" w:rsidRPr="00413148">
        <w:t xml:space="preserve">air </w:t>
      </w:r>
      <w:r w:rsidR="00D776C2" w:rsidRPr="00413148">
        <w:t>H</w:t>
      </w:r>
      <w:r w:rsidR="005E6C09" w:rsidRPr="00413148">
        <w:t xml:space="preserve">ousing </w:t>
      </w:r>
      <w:r w:rsidR="00D776C2" w:rsidRPr="00413148">
        <w:t>A</w:t>
      </w:r>
      <w:r w:rsidR="005E6C09" w:rsidRPr="00413148">
        <w:t>ct</w:t>
      </w:r>
      <w:r w:rsidR="00732B6B" w:rsidRPr="00413148">
        <w:t>.</w:t>
      </w:r>
      <w:r w:rsidR="00D776C2" w:rsidRPr="00413148">
        <w:t xml:space="preserve"> </w:t>
      </w:r>
      <w:r w:rsidR="00732B6B" w:rsidRPr="00413148">
        <w:t>T</w:t>
      </w:r>
      <w:r w:rsidR="00D776C2" w:rsidRPr="00413148">
        <w:t>he</w:t>
      </w:r>
      <w:r w:rsidR="00CF0812" w:rsidRPr="00413148">
        <w:t xml:space="preserve"> NYCHRL imposes</w:t>
      </w:r>
      <w:r w:rsidR="00D776C2" w:rsidRPr="00413148">
        <w:t xml:space="preserve"> no requirement </w:t>
      </w:r>
      <w:r w:rsidR="00CF0812" w:rsidRPr="00413148">
        <w:t>on</w:t>
      </w:r>
      <w:r w:rsidR="00D776C2" w:rsidRPr="00413148">
        <w:t xml:space="preserve"> employee</w:t>
      </w:r>
      <w:r w:rsidR="00CF0812" w:rsidRPr="00413148">
        <w:t>s</w:t>
      </w:r>
      <w:r w:rsidR="00D776C2" w:rsidRPr="00413148">
        <w:t>, tenant</w:t>
      </w:r>
      <w:r w:rsidR="00CF0812" w:rsidRPr="00413148">
        <w:t>s</w:t>
      </w:r>
      <w:r w:rsidR="00D776C2" w:rsidRPr="00413148">
        <w:t xml:space="preserve">, or </w:t>
      </w:r>
      <w:r w:rsidR="007012E6" w:rsidRPr="00413148">
        <w:t>patron</w:t>
      </w:r>
      <w:r w:rsidR="00CF0812" w:rsidRPr="00413148">
        <w:t>s</w:t>
      </w:r>
      <w:r w:rsidR="00D776C2" w:rsidRPr="00413148">
        <w:t xml:space="preserve"> </w:t>
      </w:r>
      <w:r w:rsidR="00CF0812" w:rsidRPr="00413148">
        <w:t>to</w:t>
      </w:r>
      <w:r w:rsidR="00D776C2" w:rsidRPr="00413148">
        <w:t xml:space="preserve"> prove that </w:t>
      </w:r>
      <w:r w:rsidR="00CF0812" w:rsidRPr="00413148">
        <w:t>an</w:t>
      </w:r>
      <w:r w:rsidR="00D776C2" w:rsidRPr="00413148">
        <w:t xml:space="preserve"> accommodation is readily achievable </w:t>
      </w:r>
      <w:r w:rsidR="00104FFC" w:rsidRPr="00413148">
        <w:t>or</w:t>
      </w:r>
      <w:r w:rsidR="00D776C2" w:rsidRPr="00413148">
        <w:t xml:space="preserve"> necessary, or </w:t>
      </w:r>
      <w:r w:rsidR="008721D0" w:rsidRPr="00413148">
        <w:t>to</w:t>
      </w:r>
      <w:r w:rsidR="00D776C2" w:rsidRPr="00413148">
        <w:t xml:space="preserve"> </w:t>
      </w:r>
      <w:r w:rsidR="34C4CE14" w:rsidRPr="00413148">
        <w:t xml:space="preserve">show that the accommodation </w:t>
      </w:r>
      <w:r w:rsidR="00D776C2" w:rsidRPr="00413148">
        <w:t>does not pose an undue hardship.</w:t>
      </w:r>
      <w:r w:rsidR="00D776C2" w:rsidRPr="00413148">
        <w:rPr>
          <w:rStyle w:val="FootnoteReference"/>
        </w:rPr>
        <w:footnoteReference w:id="64"/>
      </w:r>
      <w:r w:rsidR="0078192E" w:rsidRPr="00413148">
        <w:t xml:space="preserve"> </w:t>
      </w:r>
      <w:r w:rsidR="44E98845" w:rsidRPr="00413148">
        <w:t xml:space="preserve">An undue hardship analysis is based upon an array of factors, which include the type of accommodation and its cost, </w:t>
      </w:r>
      <w:r w:rsidR="000A4CDB" w:rsidRPr="00413148">
        <w:t xml:space="preserve">and the </w:t>
      </w:r>
      <w:r w:rsidR="44E98845" w:rsidRPr="00413148">
        <w:t>overall financial resources of a covered entity.</w:t>
      </w:r>
      <w:r w:rsidR="007F7AE8" w:rsidRPr="00413148">
        <w:rPr>
          <w:rStyle w:val="FootnoteReference"/>
        </w:rPr>
        <w:footnoteReference w:id="65"/>
      </w:r>
    </w:p>
    <w:p w14:paraId="0F59BA45" w14:textId="77777777" w:rsidR="00D776C2" w:rsidRPr="00413148" w:rsidRDefault="00D776C2" w:rsidP="00CA6682"/>
    <w:p w14:paraId="004BB31A" w14:textId="77777777" w:rsidR="00D776C2" w:rsidRPr="00413148" w:rsidRDefault="00D776C2" w:rsidP="00CA6682">
      <w:r w:rsidRPr="00413148">
        <w:t xml:space="preserve">Each reasonable accommodation request must be assessed on a case-by-case basis given the needs of the individual requesting the accommodation and the unique circumstances of the covered entity. This case-by-case assessment includes whether an entity should have known an accommodation was necessary, and the type of accommodation requested. Covered entities also may consider the duration that the accommodation is needed in determining whether the time and expense to provide the accommodation would cause an undue hardship. </w:t>
      </w:r>
      <w:r w:rsidR="00124659" w:rsidRPr="00413148">
        <w:t>Under the NYCHRL, t</w:t>
      </w:r>
      <w:r w:rsidRPr="00413148">
        <w:t>he covered entity is responsible for the cost of accommodations</w:t>
      </w:r>
      <w:r w:rsidR="00CA60FA" w:rsidRPr="00413148">
        <w:t xml:space="preserve"> except in the case of undue hardship</w:t>
      </w:r>
      <w:r w:rsidRPr="00413148">
        <w:t>.</w:t>
      </w:r>
      <w:r w:rsidR="007427E6" w:rsidRPr="00413148">
        <w:rPr>
          <w:rStyle w:val="FootnoteReference"/>
        </w:rPr>
        <w:footnoteReference w:id="66"/>
      </w:r>
      <w:r w:rsidRPr="00413148">
        <w:t xml:space="preserve"> </w:t>
      </w:r>
      <w:r w:rsidR="0045090F" w:rsidRPr="00413148">
        <w:t>W</w:t>
      </w:r>
      <w:r w:rsidR="004B1F9A" w:rsidRPr="00413148">
        <w:t xml:space="preserve">here </w:t>
      </w:r>
      <w:r w:rsidR="00841D54" w:rsidRPr="00413148">
        <w:t>a covered entity</w:t>
      </w:r>
      <w:r w:rsidR="004B1F9A" w:rsidRPr="00413148" w:rsidDel="009B793B">
        <w:t xml:space="preserve"> </w:t>
      </w:r>
      <w:r w:rsidR="004B1F9A" w:rsidRPr="00413148">
        <w:t>establishe</w:t>
      </w:r>
      <w:r w:rsidR="00841D54" w:rsidRPr="00413148">
        <w:t>s</w:t>
      </w:r>
      <w:r w:rsidR="004B1F9A" w:rsidRPr="00413148">
        <w:t xml:space="preserve"> clearly that a</w:t>
      </w:r>
      <w:r w:rsidR="004A2720" w:rsidRPr="00413148">
        <w:t>n</w:t>
      </w:r>
      <w:r w:rsidR="004B1F9A" w:rsidRPr="00413148">
        <w:t xml:space="preserve"> </w:t>
      </w:r>
      <w:r w:rsidR="004B1F9A" w:rsidRPr="00413148">
        <w:lastRenderedPageBreak/>
        <w:t xml:space="preserve">accommodation will pose an undue </w:t>
      </w:r>
      <w:r w:rsidR="00085DC4" w:rsidRPr="00413148">
        <w:t xml:space="preserve">financial </w:t>
      </w:r>
      <w:r w:rsidR="004B1F9A" w:rsidRPr="00413148">
        <w:t xml:space="preserve">hardship, </w:t>
      </w:r>
      <w:r w:rsidR="002B5E1A" w:rsidRPr="00413148">
        <w:t xml:space="preserve">such </w:t>
      </w:r>
      <w:r w:rsidR="00322186" w:rsidRPr="00413148">
        <w:t>covered entity</w:t>
      </w:r>
      <w:r w:rsidR="0033099B" w:rsidRPr="00413148">
        <w:t xml:space="preserve"> </w:t>
      </w:r>
      <w:r w:rsidR="004B1F9A" w:rsidRPr="00413148">
        <w:t>is encouraged but not required to explore the possibility of: seeking third party funding through a grant or other means; assisting the individual in applying for a grant to obtain the accommodation; or presenting the possibility of having the individual pay for part or all of the accommodation.</w:t>
      </w:r>
    </w:p>
    <w:p w14:paraId="73228B3D" w14:textId="77777777" w:rsidR="00D776C2" w:rsidRPr="00413148" w:rsidRDefault="00D776C2" w:rsidP="003F388D"/>
    <w:p w14:paraId="0F44961B" w14:textId="77777777" w:rsidR="00D776C2" w:rsidRPr="00413148" w:rsidRDefault="00D776C2" w:rsidP="003F388D">
      <w:r w:rsidRPr="00413148">
        <w:t xml:space="preserve">Given the requirement that each accommodation request be assessed on a case-by-case basis, covered entities must be flexible when considering accommodation requests, proposing alternative accommodations, and engaging in </w:t>
      </w:r>
      <w:r w:rsidR="00BC11F8" w:rsidRPr="00413148">
        <w:t>a</w:t>
      </w:r>
      <w:r w:rsidRPr="00413148">
        <w:t xml:space="preserve"> cooperative dialogue. The fact that a requested accommodation is novel, or has constituted an undue hardship in the past, does not serve as a basis for denying the request. The feasibility of an accommodation should be assessed holistically at the time it is requested.</w:t>
      </w:r>
    </w:p>
    <w:p w14:paraId="553F3DBC" w14:textId="77777777" w:rsidR="00D776C2" w:rsidRPr="00413148" w:rsidRDefault="00D776C2" w:rsidP="00CA6682"/>
    <w:p w14:paraId="76302A6A" w14:textId="179AF5A0" w:rsidR="00143BB6" w:rsidRPr="00413148" w:rsidRDefault="00143BB6" w:rsidP="00113630">
      <w:pPr>
        <w:pStyle w:val="Heading3"/>
        <w:numPr>
          <w:ilvl w:val="0"/>
          <w:numId w:val="23"/>
        </w:numPr>
        <w:spacing w:before="0" w:after="0"/>
        <w:ind w:left="900" w:hanging="360"/>
        <w:rPr>
          <w:b/>
          <w:bCs/>
          <w:color w:val="4B0082"/>
          <w:sz w:val="32"/>
          <w:szCs w:val="32"/>
        </w:rPr>
      </w:pPr>
      <w:bookmarkStart w:id="24" w:name="_Toc218083744"/>
      <w:r w:rsidRPr="00413148">
        <w:rPr>
          <w:rFonts w:cs="Arial"/>
          <w:b/>
          <w:bCs/>
          <w:color w:val="4B0082"/>
          <w:sz w:val="32"/>
          <w:szCs w:val="32"/>
        </w:rPr>
        <w:t>Service Animals and Emotional Support Animals</w:t>
      </w:r>
      <w:bookmarkEnd w:id="24"/>
    </w:p>
    <w:p w14:paraId="0B8E3776" w14:textId="77777777" w:rsidR="00CA6682" w:rsidRPr="00413148" w:rsidRDefault="00CA6682" w:rsidP="007263D1"/>
    <w:p w14:paraId="30D80B89" w14:textId="6C36C0C5" w:rsidR="00A96545" w:rsidRPr="00413148" w:rsidRDefault="002D577B" w:rsidP="007263D1">
      <w:pPr>
        <w:rPr>
          <w:highlight w:val="yellow"/>
          <w:vertAlign w:val="superscript"/>
        </w:rPr>
      </w:pPr>
      <w:r w:rsidRPr="00413148">
        <w:t xml:space="preserve">Service animals and emotional support animals are common types of accommodations for </w:t>
      </w:r>
      <w:r w:rsidR="00743B33" w:rsidRPr="00413148">
        <w:t xml:space="preserve">New Yorkers. Housing providers, employers, and public accommodations must </w:t>
      </w:r>
      <w:r w:rsidR="00743B33" w:rsidRPr="00413148">
        <w:rPr>
          <w:i/>
          <w:iCs/>
        </w:rPr>
        <w:t>all</w:t>
      </w:r>
      <w:r w:rsidR="00743B33" w:rsidRPr="00413148">
        <w:t xml:space="preserve"> </w:t>
      </w:r>
      <w:r w:rsidR="00265E5E" w:rsidRPr="00413148">
        <w:t xml:space="preserve">accept service animals, and make any necessary modifications to </w:t>
      </w:r>
      <w:r w:rsidR="78AE79AF" w:rsidRPr="00413148">
        <w:t xml:space="preserve">any </w:t>
      </w:r>
      <w:r w:rsidR="007435B7" w:rsidRPr="00413148">
        <w:t>“no pets” or “</w:t>
      </w:r>
      <w:r w:rsidR="00265E5E" w:rsidRPr="00413148">
        <w:t>no animals</w:t>
      </w:r>
      <w:r w:rsidR="007435B7" w:rsidRPr="00413148">
        <w:t>”</w:t>
      </w:r>
      <w:r w:rsidR="00265E5E" w:rsidRPr="00413148">
        <w:t xml:space="preserve"> policies </w:t>
      </w:r>
      <w:r w:rsidR="0D27FE2C" w:rsidRPr="00413148">
        <w:t xml:space="preserve">in order to allow for </w:t>
      </w:r>
      <w:r w:rsidR="00265E5E" w:rsidRPr="00413148">
        <w:t>service animals, unless doing so would cause an undue hardship.</w:t>
      </w:r>
      <w:r w:rsidR="00D51C00" w:rsidRPr="00413148">
        <w:t xml:space="preserve"> A service animal is an animal that does work or performs tasks for an individual with a disability.</w:t>
      </w:r>
      <w:r w:rsidR="00D51C00" w:rsidRPr="00413148">
        <w:rPr>
          <w:rStyle w:val="FootnoteReference"/>
        </w:rPr>
        <w:footnoteReference w:id="67"/>
      </w:r>
      <w:r w:rsidR="00265E5E" w:rsidRPr="00413148">
        <w:t xml:space="preserve"> </w:t>
      </w:r>
      <w:r w:rsidR="00C47A9C" w:rsidRPr="00413148">
        <w:t xml:space="preserve">Housing providers </w:t>
      </w:r>
      <w:r w:rsidR="00C47A9C" w:rsidRPr="00413148">
        <w:lastRenderedPageBreak/>
        <w:t xml:space="preserve">must also permit emotional </w:t>
      </w:r>
      <w:r w:rsidR="7D3B3C40" w:rsidRPr="00413148">
        <w:t>support</w:t>
      </w:r>
      <w:r w:rsidR="00C47A9C" w:rsidRPr="00413148">
        <w:t xml:space="preserve"> animals</w:t>
      </w:r>
      <w:r w:rsidR="00A96545" w:rsidRPr="00413148">
        <w:t xml:space="preserve"> and make any necessary modifications to </w:t>
      </w:r>
      <w:r w:rsidR="1B008302" w:rsidRPr="00413148">
        <w:t xml:space="preserve">any </w:t>
      </w:r>
      <w:r w:rsidR="004A1E99" w:rsidRPr="00413148">
        <w:t>“no pets” or “</w:t>
      </w:r>
      <w:r w:rsidR="00A96545" w:rsidRPr="00413148">
        <w:t>no animals</w:t>
      </w:r>
      <w:r w:rsidR="004A1E99" w:rsidRPr="00413148">
        <w:t>”</w:t>
      </w:r>
      <w:r w:rsidR="00A96545" w:rsidRPr="00413148">
        <w:t xml:space="preserve"> policies </w:t>
      </w:r>
      <w:r w:rsidR="004A1E99" w:rsidRPr="00413148">
        <w:t xml:space="preserve">as well as </w:t>
      </w:r>
      <w:r w:rsidR="00426882" w:rsidRPr="00413148">
        <w:t xml:space="preserve">any policies </w:t>
      </w:r>
      <w:r w:rsidR="4688EF47" w:rsidRPr="00413148">
        <w:t xml:space="preserve">that </w:t>
      </w:r>
      <w:r w:rsidR="00426882" w:rsidRPr="00413148">
        <w:t>charg</w:t>
      </w:r>
      <w:r w:rsidR="71DABED9" w:rsidRPr="00413148">
        <w:t>e</w:t>
      </w:r>
      <w:r w:rsidR="00426882" w:rsidRPr="00413148">
        <w:t xml:space="preserve"> fees for or limit animals by size, weight, species, or breed </w:t>
      </w:r>
      <w:r w:rsidR="00A96545" w:rsidRPr="00413148">
        <w:t xml:space="preserve">for emotional support animals, unless doing so would cause an undue hardship. </w:t>
      </w:r>
      <w:r w:rsidR="000A7B1D" w:rsidRPr="00413148">
        <w:t>An emotional support animal is not a pet, it is a</w:t>
      </w:r>
      <w:r w:rsidR="41E67F68" w:rsidRPr="00413148">
        <w:t>n animal that</w:t>
      </w:r>
      <w:r w:rsidR="000A7B1D" w:rsidRPr="00413148">
        <w:t xml:space="preserve"> allows a resident to use and enjoy housing as other tenants do</w:t>
      </w:r>
      <w:r w:rsidR="2312CFB0" w:rsidRPr="00413148">
        <w:t>,</w:t>
      </w:r>
      <w:r w:rsidR="00AA6A52" w:rsidRPr="00413148">
        <w:rPr>
          <w:rStyle w:val="FootnoteReference"/>
        </w:rPr>
        <w:footnoteReference w:id="68"/>
      </w:r>
      <w:r w:rsidR="25DFF80A" w:rsidRPr="00413148">
        <w:t xml:space="preserve"> </w:t>
      </w:r>
      <w:r w:rsidR="2EF1DEF7" w:rsidRPr="00413148">
        <w:t xml:space="preserve">and housing providers must consider allowing them </w:t>
      </w:r>
      <w:r w:rsidR="7DC88367" w:rsidRPr="00413148">
        <w:t>as a reasonable accommodation</w:t>
      </w:r>
      <w:r w:rsidR="00E00469" w:rsidRPr="00413148">
        <w:t xml:space="preserve">, </w:t>
      </w:r>
      <w:r w:rsidR="09DA5456" w:rsidRPr="00413148">
        <w:t>even when the</w:t>
      </w:r>
      <w:r w:rsidR="004711BF" w:rsidRPr="00413148">
        <w:t xml:space="preserve"> housing provider </w:t>
      </w:r>
      <w:r w:rsidR="7A1E28D9" w:rsidRPr="00413148">
        <w:t>does not permit pets</w:t>
      </w:r>
      <w:r w:rsidR="00E00469" w:rsidRPr="00413148">
        <w:t xml:space="preserve">. </w:t>
      </w:r>
      <w:r w:rsidR="00A96545" w:rsidRPr="00413148">
        <w:t xml:space="preserve">These types of accommodations </w:t>
      </w:r>
      <w:r w:rsidR="0F5CBCB5" w:rsidRPr="00413148">
        <w:t>are</w:t>
      </w:r>
      <w:r w:rsidR="00A96545" w:rsidRPr="00413148">
        <w:t xml:space="preserve"> discussed in more detail in the </w:t>
      </w:r>
      <w:r w:rsidR="008C7F86" w:rsidRPr="00413148">
        <w:t>part</w:t>
      </w:r>
      <w:r w:rsidR="00A96545" w:rsidRPr="00413148">
        <w:t>s of this document that cover Employment,</w:t>
      </w:r>
      <w:r w:rsidR="002577D3" w:rsidRPr="00413148">
        <w:rPr>
          <w:rStyle w:val="FootnoteReference"/>
        </w:rPr>
        <w:footnoteReference w:id="69"/>
      </w:r>
      <w:r w:rsidR="00A96545" w:rsidRPr="00413148">
        <w:t xml:space="preserve"> Public Accommodations,</w:t>
      </w:r>
      <w:r w:rsidR="002577D3" w:rsidRPr="00413148">
        <w:rPr>
          <w:rStyle w:val="FootnoteReference"/>
        </w:rPr>
        <w:footnoteReference w:id="70"/>
      </w:r>
      <w:r w:rsidR="00A96545" w:rsidRPr="00413148">
        <w:t xml:space="preserve"> and Housing.</w:t>
      </w:r>
      <w:r w:rsidR="00C76120" w:rsidRPr="00413148">
        <w:rPr>
          <w:rStyle w:val="FootnoteReference"/>
        </w:rPr>
        <w:footnoteReference w:id="71"/>
      </w:r>
    </w:p>
    <w:p w14:paraId="6B3F5751" w14:textId="77777777" w:rsidR="00426882" w:rsidRPr="00413148" w:rsidRDefault="00426882" w:rsidP="007263D1">
      <w:pPr>
        <w:rPr>
          <w:szCs w:val="32"/>
        </w:rPr>
      </w:pPr>
    </w:p>
    <w:p w14:paraId="7805A261" w14:textId="2ECDB44C" w:rsidR="00143BB6" w:rsidRPr="00413148" w:rsidRDefault="00143BB6" w:rsidP="00113630">
      <w:pPr>
        <w:pStyle w:val="Heading3"/>
        <w:numPr>
          <w:ilvl w:val="0"/>
          <w:numId w:val="42"/>
        </w:numPr>
        <w:spacing w:before="0" w:after="0"/>
        <w:ind w:left="900" w:hanging="360"/>
        <w:rPr>
          <w:b/>
          <w:bCs/>
          <w:color w:val="4B0082"/>
          <w:sz w:val="32"/>
          <w:szCs w:val="32"/>
        </w:rPr>
      </w:pPr>
      <w:bookmarkStart w:id="25" w:name="_Toc218083745"/>
      <w:r w:rsidRPr="00413148">
        <w:rPr>
          <w:b/>
          <w:bCs/>
          <w:color w:val="4B0082"/>
          <w:sz w:val="32"/>
          <w:szCs w:val="32"/>
        </w:rPr>
        <w:lastRenderedPageBreak/>
        <w:t>Reasonable Accommodation Process</w:t>
      </w:r>
      <w:bookmarkEnd w:id="25"/>
    </w:p>
    <w:p w14:paraId="127DC470" w14:textId="77777777" w:rsidR="00CA6682" w:rsidRPr="00413148" w:rsidRDefault="00CA6682" w:rsidP="00CA6682"/>
    <w:p w14:paraId="0B334912" w14:textId="69F260F0" w:rsidR="00143BB6" w:rsidRPr="00413148" w:rsidRDefault="00143BB6" w:rsidP="003F388D">
      <w:pPr>
        <w:spacing w:line="259" w:lineRule="auto"/>
      </w:pPr>
      <w:r w:rsidRPr="00413148">
        <w:t xml:space="preserve">The NYCHRL requires three main steps in the process of making reasonable accommodations: (1) initiating the cooperative dialogue; (2) engaging in the cooperative dialogue; and (3) concluding the cooperative dialogue. Each step is described briefly here, </w:t>
      </w:r>
      <w:r w:rsidR="0CFDB4AD" w:rsidRPr="00413148">
        <w:t>and</w:t>
      </w:r>
      <w:r w:rsidRPr="00413148">
        <w:t xml:space="preserve"> more details follow in the </w:t>
      </w:r>
      <w:r w:rsidR="008C7F86" w:rsidRPr="00413148">
        <w:t xml:space="preserve">parts </w:t>
      </w:r>
      <w:r w:rsidRPr="00413148">
        <w:t>on housing, employment, and public accommodations.</w:t>
      </w:r>
    </w:p>
    <w:p w14:paraId="4986E552" w14:textId="77777777" w:rsidR="00143BB6" w:rsidRPr="00413148" w:rsidRDefault="00143BB6" w:rsidP="002B563B">
      <w:pPr>
        <w:rPr>
          <w:szCs w:val="32"/>
        </w:rPr>
      </w:pPr>
    </w:p>
    <w:p w14:paraId="571853F4" w14:textId="77777777" w:rsidR="00143BB6" w:rsidRPr="00413148" w:rsidRDefault="00143BB6" w:rsidP="00113630">
      <w:pPr>
        <w:pStyle w:val="Heading4"/>
        <w:numPr>
          <w:ilvl w:val="0"/>
          <w:numId w:val="24"/>
        </w:numPr>
        <w:spacing w:before="0" w:after="0"/>
        <w:ind w:left="1440" w:hanging="540"/>
        <w:rPr>
          <w:rFonts w:cs="Arial"/>
          <w:b/>
          <w:bCs/>
          <w:color w:val="4B0082"/>
          <w:szCs w:val="32"/>
        </w:rPr>
      </w:pPr>
      <w:r w:rsidRPr="00413148">
        <w:rPr>
          <w:rFonts w:cs="Arial"/>
          <w:b/>
          <w:bCs/>
          <w:color w:val="4B0082"/>
          <w:szCs w:val="32"/>
        </w:rPr>
        <w:t>Initiating a Cooperative Dialogue</w:t>
      </w:r>
    </w:p>
    <w:p w14:paraId="2C92AC8F" w14:textId="77777777" w:rsidR="002B563B" w:rsidRPr="00413148" w:rsidRDefault="002B563B" w:rsidP="00CA6682">
      <w:pPr>
        <w:rPr>
          <w:szCs w:val="32"/>
        </w:rPr>
      </w:pPr>
    </w:p>
    <w:p w14:paraId="5B599753" w14:textId="5B963596" w:rsidR="00143BB6" w:rsidRPr="00413148" w:rsidRDefault="003E6B5A" w:rsidP="00CA6682">
      <w:r w:rsidRPr="00413148">
        <w:t xml:space="preserve">The </w:t>
      </w:r>
      <w:r w:rsidR="00CE4266" w:rsidRPr="00413148">
        <w:t xml:space="preserve">NYCHRL’s </w:t>
      </w:r>
      <w:r w:rsidRPr="00413148">
        <w:t>reasonable accommodation process</w:t>
      </w:r>
      <w:r w:rsidR="00EC417A" w:rsidRPr="00413148">
        <w:t>’ cooperative dialogue requirement</w:t>
      </w:r>
      <w:r w:rsidR="00D775CA" w:rsidRPr="00413148">
        <w:t xml:space="preserve"> is initiated</w:t>
      </w:r>
      <w:r w:rsidRPr="00413148">
        <w:t xml:space="preserve"> when</w:t>
      </w:r>
      <w:r w:rsidR="006328E7" w:rsidRPr="00413148">
        <w:t>: (1)</w:t>
      </w:r>
      <w:r w:rsidRPr="00413148">
        <w:t xml:space="preserve"> an individual requests an accommodation from a covered entity</w:t>
      </w:r>
      <w:r w:rsidR="006328E7" w:rsidRPr="00413148">
        <w:t xml:space="preserve">; or (2) when a covered entity </w:t>
      </w:r>
      <w:r w:rsidR="00D775CA" w:rsidRPr="00413148">
        <w:t>has</w:t>
      </w:r>
      <w:r w:rsidR="006328E7" w:rsidRPr="00413148">
        <w:t xml:space="preserve"> notice</w:t>
      </w:r>
      <w:r w:rsidR="0055172E" w:rsidRPr="00413148">
        <w:t xml:space="preserve"> that an individual may need</w:t>
      </w:r>
      <w:r w:rsidR="00D775CA" w:rsidRPr="00413148">
        <w:t xml:space="preserve"> </w:t>
      </w:r>
      <w:r w:rsidR="0055172E" w:rsidRPr="00413148">
        <w:t>an accommodation</w:t>
      </w:r>
      <w:r w:rsidR="00143BB6" w:rsidRPr="00413148">
        <w:t>.</w:t>
      </w:r>
      <w:r w:rsidR="00143BB6" w:rsidRPr="00413148">
        <w:rPr>
          <w:rStyle w:val="FootnoteReference"/>
        </w:rPr>
        <w:footnoteReference w:id="72"/>
      </w:r>
      <w:r w:rsidR="00143BB6" w:rsidRPr="00413148">
        <w:t xml:space="preserve"> It is unlawful for a covered entity to fail to engage in a cooperative dialogue </w:t>
      </w:r>
      <w:r w:rsidR="00F75F0C" w:rsidRPr="00413148">
        <w:t xml:space="preserve">in </w:t>
      </w:r>
      <w:r w:rsidR="004175A5" w:rsidRPr="00413148">
        <w:t>either of</w:t>
      </w:r>
      <w:r w:rsidR="00F75F0C" w:rsidRPr="00413148">
        <w:t xml:space="preserve"> these circumstances.</w:t>
      </w:r>
      <w:r w:rsidR="00143BB6" w:rsidRPr="00413148">
        <w:rPr>
          <w:rStyle w:val="FootnoteReference"/>
        </w:rPr>
        <w:footnoteReference w:id="73"/>
      </w:r>
      <w:r w:rsidR="00143BB6" w:rsidRPr="00413148">
        <w:rPr>
          <w:rStyle w:val="FootnoteReference"/>
        </w:rPr>
        <w:t xml:space="preserve">  </w:t>
      </w:r>
    </w:p>
    <w:p w14:paraId="170F2345" w14:textId="77777777" w:rsidR="00143BB6" w:rsidRPr="00413148" w:rsidRDefault="00143BB6" w:rsidP="00CA6682">
      <w:pPr>
        <w:pStyle w:val="ListParagraph"/>
        <w:ind w:left="0"/>
        <w:rPr>
          <w:rFonts w:eastAsia="Times New Roman"/>
        </w:rPr>
      </w:pPr>
    </w:p>
    <w:p w14:paraId="3AC8D8EC" w14:textId="3A000F20" w:rsidR="00143BB6" w:rsidRPr="00413148" w:rsidRDefault="00143BB6" w:rsidP="00CA6682">
      <w:r w:rsidRPr="00413148">
        <w:rPr>
          <w:rFonts w:eastAsia="Times New Roman"/>
          <w:color w:val="000000"/>
        </w:rPr>
        <w:t xml:space="preserve">The </w:t>
      </w:r>
      <w:r w:rsidR="6C7C0447" w:rsidRPr="00413148">
        <w:rPr>
          <w:rFonts w:eastAsia="Times New Roman"/>
          <w:color w:val="000000"/>
        </w:rPr>
        <w:t>N</w:t>
      </w:r>
      <w:r w:rsidR="00D96316" w:rsidRPr="00413148">
        <w:rPr>
          <w:rFonts w:eastAsia="Times New Roman"/>
          <w:color w:val="000000"/>
        </w:rPr>
        <w:t>YCHRL</w:t>
      </w:r>
      <w:r w:rsidR="6C7C0447" w:rsidRPr="00413148">
        <w:rPr>
          <w:rFonts w:eastAsia="Times New Roman"/>
          <w:color w:val="000000"/>
        </w:rPr>
        <w:t xml:space="preserve"> </w:t>
      </w:r>
      <w:r w:rsidR="00940B87" w:rsidRPr="00413148">
        <w:rPr>
          <w:rFonts w:eastAsia="Times New Roman"/>
          <w:color w:val="000000"/>
        </w:rPr>
        <w:t>requires a</w:t>
      </w:r>
      <w:r w:rsidR="6C7C0447" w:rsidRPr="00413148">
        <w:rPr>
          <w:rFonts w:eastAsia="Times New Roman"/>
          <w:color w:val="000000"/>
        </w:rPr>
        <w:t xml:space="preserve"> </w:t>
      </w:r>
      <w:r w:rsidRPr="00413148">
        <w:rPr>
          <w:rFonts w:eastAsia="Times New Roman"/>
          <w:color w:val="000000"/>
        </w:rPr>
        <w:t>“cooperative dialogue”</w:t>
      </w:r>
      <w:r w:rsidR="00EC33EE" w:rsidRPr="00413148">
        <w:rPr>
          <w:rFonts w:eastAsia="Times New Roman"/>
          <w:color w:val="000000"/>
        </w:rPr>
        <w:t xml:space="preserve"> </w:t>
      </w:r>
      <w:r w:rsidR="00B3798B" w:rsidRPr="00413148">
        <w:rPr>
          <w:rFonts w:eastAsia="Times New Roman"/>
          <w:color w:val="000000"/>
        </w:rPr>
        <w:t>that</w:t>
      </w:r>
      <w:r w:rsidRPr="00413148">
        <w:rPr>
          <w:rFonts w:eastAsia="Times New Roman"/>
          <w:color w:val="000000"/>
        </w:rPr>
        <w:t xml:space="preserve"> is a “good faith ... written or oral dialogue concerning the person’s accommodation needs; potential accommodations that may address the person’s accommodation needs, including alternatives to a requested accommodation; and </w:t>
      </w:r>
      <w:r w:rsidR="53B5AC92" w:rsidRPr="00413148">
        <w:rPr>
          <w:rFonts w:eastAsia="Times New Roman"/>
          <w:color w:val="000000"/>
        </w:rPr>
        <w:t>any challenges</w:t>
      </w:r>
      <w:r w:rsidRPr="00413148">
        <w:rPr>
          <w:rFonts w:eastAsia="Times New Roman"/>
          <w:color w:val="000000"/>
        </w:rPr>
        <w:t xml:space="preserve"> that such potential accommodations may pose for the covered entity.”</w:t>
      </w:r>
      <w:r w:rsidRPr="00413148">
        <w:rPr>
          <w:rStyle w:val="FootnoteReference"/>
        </w:rPr>
        <w:footnoteReference w:id="74"/>
      </w:r>
      <w:r w:rsidRPr="00413148">
        <w:rPr>
          <w:rFonts w:eastAsia="Times New Roman"/>
        </w:rPr>
        <w:t xml:space="preserve"> </w:t>
      </w:r>
      <w:r w:rsidRPr="00413148">
        <w:t xml:space="preserve">A cooperative dialogue is the opportunity to evaluate an individual’s needs and to consider possible accommodations that would allow </w:t>
      </w:r>
      <w:r w:rsidRPr="00413148">
        <w:rPr>
          <w:rFonts w:eastAsia="Times New Roman"/>
        </w:rPr>
        <w:t>a person</w:t>
      </w:r>
      <w:r w:rsidRPr="00413148">
        <w:t xml:space="preserve"> to perform the essential requisites of the job or enjoy the right or rights in question, without c</w:t>
      </w:r>
      <w:r w:rsidR="2D364828" w:rsidRPr="00413148">
        <w:t>ausing</w:t>
      </w:r>
      <w:r w:rsidRPr="00413148">
        <w:t xml:space="preserve"> an undue hardship for the covered entity.</w:t>
      </w:r>
      <w:r w:rsidR="00C542F5" w:rsidRPr="00413148">
        <w:rPr>
          <w:rStyle w:val="FootnoteReference"/>
        </w:rPr>
        <w:footnoteReference w:id="75"/>
      </w:r>
    </w:p>
    <w:p w14:paraId="46369AD1" w14:textId="77777777" w:rsidR="00143BB6" w:rsidRPr="00413148" w:rsidRDefault="00143BB6" w:rsidP="00CA6682">
      <w:pPr>
        <w:pStyle w:val="ListParagraph"/>
        <w:ind w:left="-90"/>
        <w:rPr>
          <w:rFonts w:eastAsia="Times New Roman"/>
        </w:rPr>
      </w:pPr>
    </w:p>
    <w:p w14:paraId="37DE2FE6" w14:textId="6B4D48BD" w:rsidR="00026976" w:rsidRPr="00413148" w:rsidRDefault="00143BB6" w:rsidP="00CA6682">
      <w:r w:rsidRPr="00413148">
        <w:t>When a covered entity learns, either directly or indirectly, that an individual requires an accommodation due to their disability, the covered entity has an affirmative</w:t>
      </w:r>
      <w:r w:rsidR="00C6101F" w:rsidRPr="00413148">
        <w:t xml:space="preserve"> obligation</w:t>
      </w:r>
      <w:r w:rsidRPr="00413148">
        <w:t xml:space="preserve"> to engage in a cooperative dialogue with the individual. The NYCHRL imposes a duty on covered entities to provide reasonable accommodations </w:t>
      </w:r>
      <w:r w:rsidR="00F77AEB" w:rsidRPr="00413148">
        <w:t>in situations where</w:t>
      </w:r>
      <w:r w:rsidRPr="00413148">
        <w:t xml:space="preserve"> </w:t>
      </w:r>
      <w:r w:rsidR="00EB7424" w:rsidRPr="00413148">
        <w:t xml:space="preserve">the covered entity </w:t>
      </w:r>
      <w:r w:rsidR="00BC39E1" w:rsidRPr="00413148">
        <w:t xml:space="preserve">knows </w:t>
      </w:r>
      <w:r w:rsidR="002E6740" w:rsidRPr="00413148">
        <w:t>or</w:t>
      </w:r>
      <w:r w:rsidR="00BC39E1" w:rsidRPr="00413148">
        <w:t xml:space="preserve"> </w:t>
      </w:r>
      <w:r w:rsidRPr="00413148">
        <w:t>should have</w:t>
      </w:r>
      <w:r w:rsidR="005632CE" w:rsidRPr="00413148">
        <w:t xml:space="preserve"> </w:t>
      </w:r>
      <w:r w:rsidRPr="00413148">
        <w:t>known</w:t>
      </w:r>
      <w:r w:rsidRPr="00413148">
        <w:rPr>
          <w:i/>
          <w:iCs/>
        </w:rPr>
        <w:t xml:space="preserve"> </w:t>
      </w:r>
      <w:r w:rsidRPr="00413148">
        <w:t>about the individual’s disability,</w:t>
      </w:r>
      <w:r w:rsidRPr="00413148">
        <w:rPr>
          <w:rStyle w:val="FootnoteReference"/>
        </w:rPr>
        <w:footnoteReference w:id="76"/>
      </w:r>
      <w:r w:rsidRPr="00413148">
        <w:t xml:space="preserve"> regardless of whether the individual </w:t>
      </w:r>
      <w:r w:rsidR="00F55267" w:rsidRPr="00413148">
        <w:t>explicitly</w:t>
      </w:r>
      <w:r w:rsidRPr="00413148">
        <w:t xml:space="preserve"> requested an accommodation.</w:t>
      </w:r>
      <w:r w:rsidR="006F7A9C" w:rsidRPr="00413148">
        <w:t xml:space="preserve"> </w:t>
      </w:r>
      <w:r w:rsidRPr="00413148">
        <w:t>Accordingly, if a covered entity has knowledge that an employee’s performance at work is diminished or that their ability to use and enjoy housing or public accommodations has changed, and the covered entity has a reasonable basis to believe that the issue is related to a disability, the entity must initiate a cooperative dialogue to explore whether an accommodation may be needed. Where a covered entity initiates a conversation, the goal should be to facilitate</w:t>
      </w:r>
      <w:r w:rsidR="00536C87" w:rsidRPr="00413148">
        <w:t xml:space="preserve"> </w:t>
      </w:r>
      <w:r w:rsidRPr="00413148">
        <w:t xml:space="preserve">open and exploratory conversation that invites the individual to understand their rights and </w:t>
      </w:r>
      <w:r w:rsidR="00A47E60" w:rsidRPr="00413148">
        <w:t xml:space="preserve">fosters </w:t>
      </w:r>
      <w:r w:rsidRPr="00413148">
        <w:t>a</w:t>
      </w:r>
      <w:r w:rsidR="002B6F75" w:rsidRPr="00413148">
        <w:t>n</w:t>
      </w:r>
      <w:r w:rsidRPr="00413148">
        <w:t xml:space="preserve"> environment </w:t>
      </w:r>
      <w:r w:rsidR="002B6F75" w:rsidRPr="00413148">
        <w:t>conducive to</w:t>
      </w:r>
      <w:r w:rsidRPr="00413148">
        <w:t xml:space="preserve"> making a request.</w:t>
      </w:r>
      <w:r w:rsidR="00026976" w:rsidRPr="00413148">
        <w:t xml:space="preserve"> </w:t>
      </w:r>
      <w:r w:rsidR="00A767CA" w:rsidRPr="00413148">
        <w:t xml:space="preserve">However, </w:t>
      </w:r>
      <w:r w:rsidR="00CF1A41" w:rsidRPr="00413148">
        <w:t>a</w:t>
      </w:r>
      <w:r w:rsidRPr="00413148">
        <w:t xml:space="preserve"> covered entity should not assume that an employee, patron, or tenant has a disability or that they need an accommodation</w:t>
      </w:r>
      <w:r w:rsidR="003415E4">
        <w:t>, because</w:t>
      </w:r>
      <w:r w:rsidRPr="00413148">
        <w:t xml:space="preserve"> </w:t>
      </w:r>
      <w:r w:rsidR="0081521F" w:rsidRPr="00413148">
        <w:t>acting on such an assumption</w:t>
      </w:r>
      <w:r w:rsidRPr="00413148">
        <w:t xml:space="preserve"> could itself be unlawful discriminatory conduct. </w:t>
      </w:r>
      <w:r w:rsidR="00CC1A2F" w:rsidRPr="00413148">
        <w:t xml:space="preserve">Covered entities can open a discussion by ensuring that patrons, employees, tenants, and applicants are generally aware that reasonable accommodation </w:t>
      </w:r>
      <w:r w:rsidR="00344EFE" w:rsidRPr="00413148">
        <w:t>requests can be made at any time</w:t>
      </w:r>
      <w:r w:rsidR="00CC1A2F" w:rsidRPr="00413148">
        <w:t>.</w:t>
      </w:r>
      <w:r w:rsidR="00E0386C" w:rsidRPr="00413148">
        <w:t xml:space="preserve"> If a covered entity</w:t>
      </w:r>
      <w:r w:rsidR="00884EAB" w:rsidRPr="00413148">
        <w:t xml:space="preserve"> </w:t>
      </w:r>
      <w:r w:rsidR="004239AC" w:rsidRPr="00413148">
        <w:t xml:space="preserve">has a specific basis for believing that an individual may require a reasonable accommodation, the covered entity may </w:t>
      </w:r>
      <w:r w:rsidR="00515A1B" w:rsidRPr="00413148">
        <w:t>mention the observed</w:t>
      </w:r>
      <w:r w:rsidR="004239AC" w:rsidRPr="00413148">
        <w:t xml:space="preserve"> issue</w:t>
      </w:r>
      <w:r w:rsidR="5FFE8FD7" w:rsidRPr="00413148">
        <w:t xml:space="preserve"> (</w:t>
      </w:r>
      <w:r w:rsidR="001C27E0" w:rsidRPr="00413148">
        <w:t>such as diminished</w:t>
      </w:r>
      <w:r w:rsidR="00515A1B" w:rsidRPr="00413148">
        <w:t xml:space="preserve"> work</w:t>
      </w:r>
      <w:r w:rsidR="001C27E0" w:rsidRPr="00413148">
        <w:t xml:space="preserve"> performance</w:t>
      </w:r>
      <w:r w:rsidR="00515A1B" w:rsidRPr="00413148">
        <w:t xml:space="preserve"> or </w:t>
      </w:r>
      <w:r w:rsidR="21F74943" w:rsidRPr="00413148">
        <w:t>other change</w:t>
      </w:r>
      <w:r w:rsidR="4AABE90E" w:rsidRPr="00413148">
        <w:t>)</w:t>
      </w:r>
      <w:r w:rsidR="00515A1B" w:rsidRPr="00413148">
        <w:t xml:space="preserve"> and </w:t>
      </w:r>
      <w:r w:rsidR="01939EC6" w:rsidRPr="00413148">
        <w:t>start an open</w:t>
      </w:r>
      <w:r w:rsidR="00670F59" w:rsidRPr="00413148">
        <w:t>-</w:t>
      </w:r>
      <w:r w:rsidR="01939EC6" w:rsidRPr="00413148">
        <w:t xml:space="preserve">ended conversation to assess if there is any action a </w:t>
      </w:r>
      <w:r w:rsidR="00515A1B" w:rsidRPr="00413148">
        <w:t xml:space="preserve">covered entity can </w:t>
      </w:r>
      <w:r w:rsidR="35FC7F3C" w:rsidRPr="00413148">
        <w:t>take to</w:t>
      </w:r>
      <w:r w:rsidR="00F957AF" w:rsidRPr="00413148">
        <w:t xml:space="preserve"> assist the individual.</w:t>
      </w:r>
    </w:p>
    <w:p w14:paraId="61E05A94" w14:textId="77777777" w:rsidR="00026976" w:rsidRPr="00413148" w:rsidRDefault="00026976" w:rsidP="00CA6682"/>
    <w:p w14:paraId="76FFB94D" w14:textId="77777777" w:rsidR="00DD4440" w:rsidRPr="00413148" w:rsidRDefault="00143BB6" w:rsidP="00CA6682">
      <w:r w:rsidRPr="00413148">
        <w:t xml:space="preserve">If </w:t>
      </w:r>
      <w:r w:rsidR="001D7F63" w:rsidRPr="00413148">
        <w:t>the</w:t>
      </w:r>
      <w:r w:rsidR="00AF4C92" w:rsidRPr="00413148">
        <w:t xml:space="preserve"> </w:t>
      </w:r>
      <w:r w:rsidR="00B370F2" w:rsidRPr="00413148">
        <w:t>person</w:t>
      </w:r>
      <w:r w:rsidRPr="00413148" w:rsidDel="00AF4C92">
        <w:t xml:space="preserve"> </w:t>
      </w:r>
      <w:r w:rsidRPr="00413148">
        <w:t xml:space="preserve">chooses not to disclose that they have a disability in that conversation, the covered </w:t>
      </w:r>
      <w:r w:rsidR="00C35550" w:rsidRPr="00413148">
        <w:t xml:space="preserve">entity </w:t>
      </w:r>
      <w:r w:rsidRPr="00413148">
        <w:t xml:space="preserve">has met their obligation to initiate a cooperative dialogue. If a covered entity approaches an individual to </w:t>
      </w:r>
      <w:r w:rsidRPr="00413148">
        <w:lastRenderedPageBreak/>
        <w:t xml:space="preserve">initiate a cooperative dialogue and the </w:t>
      </w:r>
      <w:r w:rsidR="001656D0" w:rsidRPr="00413148">
        <w:t>person</w:t>
      </w:r>
      <w:r w:rsidRPr="00413148">
        <w:t xml:space="preserve"> does not reveal that they have a disability or request a reasonable accommodation in that conversation, the individual does not waive their opportunity to reveal their disability and initiate a cooperative dialogue with the covered entity at a later time.</w:t>
      </w:r>
      <w:r w:rsidR="00DD4440" w:rsidRPr="00413148">
        <w:t xml:space="preserve"> </w:t>
      </w:r>
    </w:p>
    <w:p w14:paraId="4B74C17F" w14:textId="77777777" w:rsidR="00DD4440" w:rsidRPr="00413148" w:rsidRDefault="00DD4440" w:rsidP="00CA6682"/>
    <w:p w14:paraId="59300F29" w14:textId="6409388B" w:rsidR="00143BB6" w:rsidRPr="00413148" w:rsidRDefault="00CE5A35" w:rsidP="00CA6682">
      <w:pPr>
        <w:rPr>
          <w:highlight w:val="yellow"/>
        </w:rPr>
      </w:pPr>
      <w:r w:rsidRPr="00413148">
        <w:t>A c</w:t>
      </w:r>
      <w:r w:rsidR="003A0CB5" w:rsidRPr="00413148">
        <w:t>overed entit</w:t>
      </w:r>
      <w:r w:rsidRPr="00413148">
        <w:t>y</w:t>
      </w:r>
      <w:r w:rsidR="003A0CB5" w:rsidRPr="00413148">
        <w:t xml:space="preserve"> ha</w:t>
      </w:r>
      <w:r w:rsidRPr="00413148">
        <w:t>s</w:t>
      </w:r>
      <w:r w:rsidR="003A0CB5" w:rsidRPr="00413148">
        <w:t xml:space="preserve"> an obligation to engage in a cooperative dialogue when </w:t>
      </w:r>
      <w:r w:rsidRPr="00413148">
        <w:t>it</w:t>
      </w:r>
      <w:r w:rsidR="003A0CB5" w:rsidRPr="00413148">
        <w:t xml:space="preserve"> know</w:t>
      </w:r>
      <w:r w:rsidRPr="00413148">
        <w:t>s</w:t>
      </w:r>
      <w:r w:rsidR="003A0CB5" w:rsidRPr="00413148">
        <w:t xml:space="preserve"> or should know that an individual may need a reasonable accommodation. Regarding </w:t>
      </w:r>
      <w:r w:rsidR="00C009F6" w:rsidRPr="00413148">
        <w:t xml:space="preserve">requests by individuals, </w:t>
      </w:r>
      <w:r w:rsidRPr="00413148">
        <w:t xml:space="preserve">a </w:t>
      </w:r>
      <w:r w:rsidR="00C009F6" w:rsidRPr="00413148">
        <w:t>covered entit</w:t>
      </w:r>
      <w:r w:rsidRPr="00413148">
        <w:t>y</w:t>
      </w:r>
      <w:r w:rsidR="00C009F6" w:rsidRPr="00413148">
        <w:t xml:space="preserve"> may </w:t>
      </w:r>
      <w:r w:rsidR="00600974" w:rsidRPr="00413148">
        <w:t xml:space="preserve">have a preferred form or format for </w:t>
      </w:r>
      <w:r w:rsidR="00054957" w:rsidRPr="00413148">
        <w:t>receiving</w:t>
      </w:r>
      <w:r w:rsidR="00600974" w:rsidRPr="00413148">
        <w:t xml:space="preserve"> </w:t>
      </w:r>
      <w:r w:rsidR="00C6447E" w:rsidRPr="00413148">
        <w:t>request</w:t>
      </w:r>
      <w:r w:rsidR="00054957" w:rsidRPr="00413148">
        <w:t>s for</w:t>
      </w:r>
      <w:r w:rsidR="00C6447E" w:rsidRPr="00413148">
        <w:t xml:space="preserve"> accommodations</w:t>
      </w:r>
      <w:r w:rsidR="00E75777" w:rsidRPr="00413148">
        <w:t xml:space="preserve">, </w:t>
      </w:r>
      <w:r w:rsidR="007131AD" w:rsidRPr="00413148">
        <w:t xml:space="preserve">however, </w:t>
      </w:r>
      <w:r w:rsidR="00200C70" w:rsidRPr="00413148">
        <w:t>if an individual makes a request for an accommodation in another format that puts the covered entity on notice</w:t>
      </w:r>
      <w:r w:rsidR="004C12B4" w:rsidRPr="00413148">
        <w:t xml:space="preserve"> of the individual’s </w:t>
      </w:r>
      <w:r w:rsidR="00AF04ED" w:rsidRPr="00413148">
        <w:t>potential need for an accommodation, the covered entity is obligated to engage in the cooperative dialogue.</w:t>
      </w:r>
      <w:r w:rsidR="000E4E1C" w:rsidRPr="00413148">
        <w:t xml:space="preserve"> </w:t>
      </w:r>
      <w:r w:rsidR="00054957" w:rsidRPr="00413148">
        <w:t>A</w:t>
      </w:r>
      <w:r w:rsidR="00DD4440" w:rsidRPr="00413148">
        <w:t xml:space="preserve"> </w:t>
      </w:r>
      <w:r w:rsidR="00C204BE" w:rsidRPr="00413148">
        <w:t>c</w:t>
      </w:r>
      <w:r w:rsidR="00DD4440" w:rsidRPr="00413148">
        <w:t>overed e</w:t>
      </w:r>
      <w:r w:rsidR="00C243A7" w:rsidRPr="00413148">
        <w:t>ntit</w:t>
      </w:r>
      <w:r w:rsidR="00C204BE" w:rsidRPr="00413148">
        <w:t>y</w:t>
      </w:r>
      <w:r w:rsidR="000E4E1C" w:rsidRPr="00413148">
        <w:t xml:space="preserve"> that ha</w:t>
      </w:r>
      <w:r w:rsidR="00C204BE" w:rsidRPr="00413148">
        <w:t>s</w:t>
      </w:r>
      <w:r w:rsidR="000E4E1C" w:rsidRPr="00413148">
        <w:t xml:space="preserve"> a </w:t>
      </w:r>
      <w:r w:rsidR="0004149D" w:rsidRPr="00413148">
        <w:t>preferred form</w:t>
      </w:r>
      <w:r w:rsidR="00B42574" w:rsidRPr="00413148">
        <w:t xml:space="preserve"> for</w:t>
      </w:r>
      <w:r w:rsidR="00DD4440" w:rsidRPr="00413148">
        <w:t xml:space="preserve"> individuals to use to request </w:t>
      </w:r>
      <w:proofErr w:type="gramStart"/>
      <w:r w:rsidR="00DD4440" w:rsidRPr="00413148">
        <w:t>an accommodation</w:t>
      </w:r>
      <w:proofErr w:type="gramEnd"/>
      <w:r w:rsidR="00DD4440" w:rsidRPr="00413148">
        <w:t xml:space="preserve"> </w:t>
      </w:r>
      <w:r w:rsidR="001E2B80" w:rsidRPr="00413148">
        <w:t xml:space="preserve">must </w:t>
      </w:r>
      <w:r w:rsidR="00F8283A" w:rsidRPr="00413148">
        <w:t xml:space="preserve">also </w:t>
      </w:r>
      <w:proofErr w:type="gramStart"/>
      <w:r w:rsidR="00DD4440" w:rsidRPr="00413148">
        <w:t>offer assistance</w:t>
      </w:r>
      <w:proofErr w:type="gramEnd"/>
      <w:r w:rsidR="00DD4440" w:rsidRPr="00413148">
        <w:t xml:space="preserve"> in completing the form where such assistance is needed.</w:t>
      </w:r>
      <w:r w:rsidR="004839F4" w:rsidRPr="00413148">
        <w:t xml:space="preserve">  </w:t>
      </w:r>
    </w:p>
    <w:p w14:paraId="23C2728F" w14:textId="77777777" w:rsidR="00143BB6" w:rsidRPr="00413148" w:rsidRDefault="00143BB6" w:rsidP="00CA6682"/>
    <w:p w14:paraId="75B1A98B" w14:textId="77777777" w:rsidR="00143BB6" w:rsidRPr="00413148" w:rsidRDefault="00143BB6" w:rsidP="00CA6682">
      <w:r w:rsidRPr="00413148">
        <w:t xml:space="preserve">It </w:t>
      </w:r>
      <w:r w:rsidR="008D66EF" w:rsidRPr="00413148">
        <w:t>i</w:t>
      </w:r>
      <w:r w:rsidRPr="00413148">
        <w:t xml:space="preserve">s unlawful to take an adverse action against </w:t>
      </w:r>
      <w:r w:rsidR="00C04AA4" w:rsidRPr="00413148">
        <w:t>someone</w:t>
      </w:r>
      <w:r w:rsidRPr="00413148">
        <w:t xml:space="preserve"> who does not volunteer information about having a disability or a need for an accommodation at the stage they initially seek services or apply for a job or housing. For example, terminating an employee because they failed to disclose their disability status or need for a reasonable accommodation prior to receiving their offer of employment is a violation of the </w:t>
      </w:r>
      <w:r w:rsidR="00CE507B" w:rsidRPr="00413148">
        <w:t>NYCHRL</w:t>
      </w:r>
      <w:r w:rsidRPr="00413148">
        <w:t>.</w:t>
      </w:r>
      <w:r w:rsidRPr="00413148">
        <w:rPr>
          <w:vertAlign w:val="superscript"/>
        </w:rPr>
        <w:footnoteReference w:id="77"/>
      </w:r>
      <w:r w:rsidRPr="00413148">
        <w:t xml:space="preserve"> Similarly, a housing provider cannot penalize a current or prospective tenant for failing to volunteer information about their disability or potential need for a reasonable accommodation at the time of applying for housing, </w:t>
      </w:r>
      <w:r w:rsidR="45A8F988" w:rsidRPr="00413148">
        <w:t>wheth</w:t>
      </w:r>
      <w:r w:rsidR="006411BA" w:rsidRPr="00413148">
        <w:t>e</w:t>
      </w:r>
      <w:r w:rsidR="08B0A18F" w:rsidRPr="00413148">
        <w:t>r</w:t>
      </w:r>
      <w:r w:rsidR="006411BA" w:rsidRPr="00413148">
        <w:t xml:space="preserve"> a</w:t>
      </w:r>
      <w:r w:rsidRPr="00413148">
        <w:t xml:space="preserve"> prospective tenant, resident, or buyer</w:t>
      </w:r>
      <w:r w:rsidR="000334B2" w:rsidRPr="00413148">
        <w:t>,</w:t>
      </w:r>
      <w:r w:rsidR="000110AA" w:rsidRPr="00413148">
        <w:t xml:space="preserve"> except where </w:t>
      </w:r>
      <w:r w:rsidR="00D5166F" w:rsidRPr="00413148">
        <w:t>housing has legally specified disability requirements for residen</w:t>
      </w:r>
      <w:r w:rsidR="00BD6DD7" w:rsidRPr="00413148">
        <w:t>cy</w:t>
      </w:r>
      <w:r w:rsidR="00952360" w:rsidRPr="00413148">
        <w:t>.</w:t>
      </w:r>
      <w:r w:rsidR="002975C0" w:rsidRPr="00413148">
        <w:rPr>
          <w:rStyle w:val="FootnoteReference"/>
        </w:rPr>
        <w:footnoteReference w:id="78"/>
      </w:r>
      <w:r w:rsidR="00D5166F" w:rsidRPr="00413148">
        <w:t xml:space="preserve"> </w:t>
      </w:r>
      <w:r w:rsidRPr="00413148">
        <w:t xml:space="preserve">This applies to </w:t>
      </w:r>
      <w:r w:rsidRPr="00413148">
        <w:lastRenderedPageBreak/>
        <w:t>all potential accommodations, including use of a service or emotional support animal.</w:t>
      </w:r>
      <w:r w:rsidRPr="00413148">
        <w:rPr>
          <w:rStyle w:val="FootnoteReference"/>
        </w:rPr>
        <w:footnoteReference w:id="79"/>
      </w:r>
    </w:p>
    <w:p w14:paraId="3BC23248" w14:textId="77777777" w:rsidR="00143BB6" w:rsidRPr="00413148" w:rsidRDefault="00143BB6" w:rsidP="00CA6682"/>
    <w:p w14:paraId="240FC681" w14:textId="77777777" w:rsidR="00143BB6" w:rsidRPr="00413148" w:rsidRDefault="00143BB6" w:rsidP="00113630">
      <w:pPr>
        <w:pStyle w:val="Heading4"/>
        <w:numPr>
          <w:ilvl w:val="0"/>
          <w:numId w:val="24"/>
        </w:numPr>
        <w:spacing w:before="0" w:after="0"/>
        <w:ind w:left="1440" w:hanging="540"/>
        <w:rPr>
          <w:rFonts w:cs="Arial"/>
          <w:b/>
          <w:bCs/>
          <w:color w:val="4B0082"/>
          <w:szCs w:val="32"/>
        </w:rPr>
      </w:pPr>
      <w:r w:rsidRPr="00413148">
        <w:rPr>
          <w:rFonts w:cs="Arial"/>
          <w:b/>
          <w:bCs/>
          <w:color w:val="4B0082"/>
          <w:szCs w:val="32"/>
        </w:rPr>
        <w:t>Engaging in a Cooperative Dialogue</w:t>
      </w:r>
    </w:p>
    <w:p w14:paraId="0C3F0E3F" w14:textId="77777777" w:rsidR="00143BB6" w:rsidRPr="00413148" w:rsidRDefault="00143BB6" w:rsidP="00CA6682">
      <w:pPr>
        <w:rPr>
          <w:szCs w:val="32"/>
        </w:rPr>
      </w:pPr>
    </w:p>
    <w:p w14:paraId="6A123005" w14:textId="44970631" w:rsidR="00143BB6" w:rsidRPr="00413148" w:rsidRDefault="00143BB6" w:rsidP="00CA6682">
      <w:r w:rsidRPr="00413148">
        <w:t xml:space="preserve">The cooperative dialogue itself is a critical step in the reasonable accommodation process. The covered entity need not </w:t>
      </w:r>
      <w:r w:rsidR="001EAAB8" w:rsidRPr="00413148">
        <w:t xml:space="preserve">always </w:t>
      </w:r>
      <w:r w:rsidRPr="00413148">
        <w:t xml:space="preserve">provide the specific accommodation sought by the </w:t>
      </w:r>
      <w:r w:rsidR="0006737F" w:rsidRPr="00413148">
        <w:t>person</w:t>
      </w:r>
      <w:r w:rsidRPr="00413148">
        <w:t xml:space="preserve"> making the request</w:t>
      </w:r>
      <w:r w:rsidR="0098276A" w:rsidRPr="00413148">
        <w:t>,</w:t>
      </w:r>
      <w:r w:rsidRPr="00413148">
        <w:t xml:space="preserve"> so long as they propose reasonable alternatives that meet the specific needs of the individual or that specifically address the impairment at issue.</w:t>
      </w:r>
      <w:r w:rsidRPr="00413148">
        <w:rPr>
          <w:rStyle w:val="FootnoteReference"/>
        </w:rPr>
        <w:footnoteReference w:id="80"/>
      </w:r>
    </w:p>
    <w:p w14:paraId="56C9254E" w14:textId="77777777" w:rsidR="00143BB6" w:rsidRPr="00413148" w:rsidRDefault="00143BB6" w:rsidP="00CA6682"/>
    <w:p w14:paraId="7F928917" w14:textId="77777777" w:rsidR="006603D5" w:rsidRPr="00413148" w:rsidRDefault="00143BB6" w:rsidP="00CA6682">
      <w:r w:rsidRPr="00413148">
        <w:t xml:space="preserve">A cooperative dialogue involves both a covered entity and an individual requesting an accommodation communicating in good faith in a transparent and </w:t>
      </w:r>
      <w:r w:rsidR="001E7801" w:rsidRPr="00413148">
        <w:t xml:space="preserve">prompt </w:t>
      </w:r>
      <w:r w:rsidRPr="00413148">
        <w:t xml:space="preserve">manner, particularly given the time-sensitive nature of many accommodation requests. If a covered entity offers an accommodation and the individual requesting the accommodation reasonably determines that the accommodation offered is not sufficient to meet their needs, the covered entity </w:t>
      </w:r>
      <w:r w:rsidR="00210B12" w:rsidRPr="00413148">
        <w:t>may not have</w:t>
      </w:r>
      <w:r w:rsidRPr="00413148">
        <w:t xml:space="preserve"> met their obligation to engage in the cooperative dialogue. In such circumstances, the covered entity must continue to engage in the cooperative dialogue in good faith with the person to determine if there are alternatives that would meet the person’s needs. Both parties must engage in the cooperative dialogue “in good faith,” and as a result, an individual with a disability cannot simply reject a potential accommodation that would be sufficient to meet their needs on the basis that it is not the individual’s preferred accommodation. </w:t>
      </w:r>
      <w:r w:rsidRPr="00413148">
        <w:lastRenderedPageBreak/>
        <w:t xml:space="preserve">During the cooperative dialogue, the covered entity should focus on understanding the person’s need for the request and ways to effectively accommodate that need. </w:t>
      </w:r>
    </w:p>
    <w:p w14:paraId="6B053978" w14:textId="77777777" w:rsidR="006603D5" w:rsidRPr="00413148" w:rsidRDefault="006603D5" w:rsidP="00CA6682"/>
    <w:p w14:paraId="7DA8F3FA" w14:textId="7B865203" w:rsidR="00143BB6" w:rsidRPr="00413148" w:rsidRDefault="00143BB6" w:rsidP="00CA6682">
      <w:r w:rsidRPr="00413148">
        <w:t xml:space="preserve">The </w:t>
      </w:r>
      <w:r w:rsidR="008D46BD" w:rsidRPr="00413148">
        <w:t xml:space="preserve">cooperative </w:t>
      </w:r>
      <w:r w:rsidRPr="00413148">
        <w:t xml:space="preserve">dialogue </w:t>
      </w:r>
      <w:r w:rsidR="008D46BD" w:rsidRPr="00413148">
        <w:t>requirement is flexible and contemplates</w:t>
      </w:r>
      <w:r w:rsidR="000E425A" w:rsidRPr="00413148">
        <w:t xml:space="preserve"> a variety of formats, </w:t>
      </w:r>
      <w:r w:rsidR="008D46BD" w:rsidRPr="00413148">
        <w:t>such as</w:t>
      </w:r>
      <w:r w:rsidR="000E425A" w:rsidRPr="00413148">
        <w:t xml:space="preserve"> </w:t>
      </w:r>
      <w:r w:rsidRPr="00413148">
        <w:t>in</w:t>
      </w:r>
      <w:r w:rsidR="000E425A" w:rsidRPr="00413148">
        <w:t>-</w:t>
      </w:r>
      <w:r w:rsidRPr="00413148">
        <w:t>person</w:t>
      </w:r>
      <w:r w:rsidR="000E425A" w:rsidRPr="00413148">
        <w:t xml:space="preserve"> conversations</w:t>
      </w:r>
      <w:r w:rsidRPr="00413148">
        <w:t xml:space="preserve">, </w:t>
      </w:r>
      <w:r w:rsidR="00704D02" w:rsidRPr="00413148">
        <w:t>written</w:t>
      </w:r>
      <w:r w:rsidRPr="00413148">
        <w:t xml:space="preserve"> </w:t>
      </w:r>
      <w:r w:rsidR="008D4445" w:rsidRPr="00413148">
        <w:t>communications</w:t>
      </w:r>
      <w:r w:rsidR="00252093" w:rsidRPr="00413148">
        <w:t xml:space="preserve"> such as letters or emails</w:t>
      </w:r>
      <w:r w:rsidR="008D4445" w:rsidRPr="00413148">
        <w:t>,</w:t>
      </w:r>
      <w:r w:rsidRPr="00413148" w:rsidDel="008D4445">
        <w:t xml:space="preserve"> </w:t>
      </w:r>
      <w:r w:rsidR="005A1912" w:rsidRPr="00413148">
        <w:t>phone calls</w:t>
      </w:r>
      <w:r w:rsidRPr="00413148">
        <w:t xml:space="preserve">, or via electronic </w:t>
      </w:r>
      <w:r w:rsidR="00B8450F" w:rsidRPr="00413148">
        <w:t>video chat or</w:t>
      </w:r>
      <w:r w:rsidRPr="00413148">
        <w:t xml:space="preserve"> </w:t>
      </w:r>
      <w:r w:rsidR="00252093" w:rsidRPr="00413148">
        <w:t>conferencing software</w:t>
      </w:r>
      <w:r w:rsidRPr="00413148">
        <w:t xml:space="preserve">. If a covered entity does not have enough information to understand the person’s needs in order to fashion an appropriate accommodation, the covered entity may ask for additional information about the specific limitations </w:t>
      </w:r>
      <w:r w:rsidR="00686979" w:rsidRPr="00413148">
        <w:t>and needs</w:t>
      </w:r>
      <w:r w:rsidRPr="00413148">
        <w:t xml:space="preserve"> that result from the person’s disability</w:t>
      </w:r>
      <w:r w:rsidR="00234739" w:rsidRPr="00413148">
        <w:t>, however a</w:t>
      </w:r>
      <w:r w:rsidR="00916BAC" w:rsidRPr="00413148">
        <w:t>n over</w:t>
      </w:r>
      <w:r w:rsidR="00FC62C9" w:rsidRPr="00413148">
        <w:t>ly</w:t>
      </w:r>
      <w:r w:rsidR="00916BAC" w:rsidRPr="00413148">
        <w:t xml:space="preserve"> invasive inquiry into an individua</w:t>
      </w:r>
      <w:r w:rsidR="003B3B7E" w:rsidRPr="00413148">
        <w:t>l’s</w:t>
      </w:r>
      <w:r w:rsidR="00916BAC" w:rsidRPr="00413148">
        <w:t xml:space="preserve"> medical history can be considered unlawful discriminatory harassment</w:t>
      </w:r>
      <w:r w:rsidRPr="00413148">
        <w:t>.</w:t>
      </w:r>
    </w:p>
    <w:p w14:paraId="1E5283B6" w14:textId="6165A1C5" w:rsidR="00EB583B" w:rsidRPr="00413148" w:rsidRDefault="00EB583B" w:rsidP="00CA6682">
      <w:pPr>
        <w:rPr>
          <w:i/>
          <w:iCs/>
        </w:rPr>
      </w:pPr>
    </w:p>
    <w:p w14:paraId="2E1D46DA" w14:textId="1D534388" w:rsidR="00042E4C" w:rsidRPr="00413148" w:rsidRDefault="00042E4C" w:rsidP="00113630">
      <w:pPr>
        <w:pStyle w:val="Heading4"/>
        <w:numPr>
          <w:ilvl w:val="0"/>
          <w:numId w:val="24"/>
        </w:numPr>
        <w:spacing w:before="0" w:after="0"/>
        <w:ind w:left="1440" w:hanging="540"/>
        <w:rPr>
          <w:rFonts w:cs="Arial"/>
          <w:b/>
          <w:bCs/>
          <w:color w:val="4B0082"/>
          <w:szCs w:val="32"/>
        </w:rPr>
      </w:pPr>
      <w:r w:rsidRPr="00413148">
        <w:rPr>
          <w:rFonts w:cs="Arial"/>
          <w:b/>
          <w:bCs/>
          <w:color w:val="4B0082"/>
          <w:szCs w:val="32"/>
        </w:rPr>
        <w:t xml:space="preserve">Establishing Good Faith in </w:t>
      </w:r>
      <w:r w:rsidR="00ED1272" w:rsidRPr="00413148">
        <w:rPr>
          <w:rFonts w:cs="Arial"/>
          <w:b/>
          <w:bCs/>
          <w:color w:val="4B0082"/>
          <w:szCs w:val="32"/>
        </w:rPr>
        <w:t>a</w:t>
      </w:r>
      <w:r w:rsidRPr="00413148">
        <w:rPr>
          <w:rFonts w:cs="Arial"/>
          <w:b/>
          <w:bCs/>
          <w:color w:val="4B0082"/>
          <w:szCs w:val="32"/>
        </w:rPr>
        <w:t xml:space="preserve"> Cooperative Dialogue</w:t>
      </w:r>
    </w:p>
    <w:p w14:paraId="3433F7C2" w14:textId="77777777" w:rsidR="00823C08" w:rsidRPr="00413148" w:rsidRDefault="00823C08" w:rsidP="00CA6682"/>
    <w:p w14:paraId="6146A48C" w14:textId="29CB1C8D" w:rsidR="00EB583B" w:rsidRPr="00413148" w:rsidRDefault="00CE5B29" w:rsidP="00CA6682">
      <w:pPr>
        <w:rPr>
          <w:szCs w:val="32"/>
        </w:rPr>
      </w:pPr>
      <w:r w:rsidRPr="00413148">
        <w:t xml:space="preserve">The NYCHRL requires that all parties to a cooperative dialogue engage in </w:t>
      </w:r>
      <w:r w:rsidR="00C75899" w:rsidRPr="00413148">
        <w:t>the dialogue in good faith.</w:t>
      </w:r>
      <w:r w:rsidR="00A11689" w:rsidRPr="00413148">
        <w:rPr>
          <w:rStyle w:val="FootnoteReference"/>
        </w:rPr>
        <w:footnoteReference w:id="81"/>
      </w:r>
      <w:r w:rsidR="00C75899" w:rsidRPr="00413148">
        <w:t xml:space="preserve"> This includes the covered entity</w:t>
      </w:r>
      <w:r w:rsidRPr="00413148">
        <w:t xml:space="preserve"> </w:t>
      </w:r>
      <w:r w:rsidR="006D3AD5" w:rsidRPr="00413148">
        <w:t>and the person requesting an accommodation.</w:t>
      </w:r>
      <w:r w:rsidRPr="00413148">
        <w:t xml:space="preserve"> </w:t>
      </w:r>
      <w:r w:rsidR="00042E4C" w:rsidRPr="00413148">
        <w:t>In evaluating whether or not a covered entity has engaged in a cooperative dialogue in good faith with a</w:t>
      </w:r>
      <w:r w:rsidR="6F8AC3D2" w:rsidRPr="00413148">
        <w:t xml:space="preserve"> person who is</w:t>
      </w:r>
      <w:r w:rsidR="00042E4C" w:rsidRPr="00413148">
        <w:t xml:space="preserve"> </w:t>
      </w:r>
      <w:r w:rsidR="6207D2D0" w:rsidRPr="00413148">
        <w:t xml:space="preserve">entitled to </w:t>
      </w:r>
      <w:r w:rsidR="00042E4C" w:rsidRPr="00413148">
        <w:t xml:space="preserve">a reasonable accommodation, the Commission will consider various factors, including, without limitation: (1) whether the covered entity has a </w:t>
      </w:r>
      <w:r w:rsidR="00042E4C" w:rsidRPr="00413148">
        <w:lastRenderedPageBreak/>
        <w:t xml:space="preserve">policy informing employees, residents, or </w:t>
      </w:r>
      <w:r w:rsidR="00D0151D" w:rsidRPr="00413148">
        <w:t>patron</w:t>
      </w:r>
      <w:r w:rsidR="00042E4C" w:rsidRPr="00413148">
        <w:t>s how to request accommodations based on disability;</w:t>
      </w:r>
      <w:r w:rsidR="00042E4C" w:rsidRPr="00413148">
        <w:rPr>
          <w:rStyle w:val="FootnoteReference"/>
        </w:rPr>
        <w:footnoteReference w:id="82"/>
      </w:r>
      <w:r w:rsidR="00042E4C" w:rsidRPr="00413148">
        <w:t xml:space="preserve"> (2) whether the covered entity </w:t>
      </w:r>
      <w:r w:rsidR="003E0EEF" w:rsidRPr="00413148">
        <w:t>initiated</w:t>
      </w:r>
      <w:r w:rsidR="00042E4C" w:rsidRPr="00413148">
        <w:t xml:space="preserve"> </w:t>
      </w:r>
      <w:r w:rsidR="00340125" w:rsidRPr="00413148">
        <w:t>a cooperative dialogue or</w:t>
      </w:r>
      <w:r w:rsidR="00042E4C" w:rsidRPr="00413148">
        <w:t xml:space="preserve"> responded to </w:t>
      </w:r>
      <w:r w:rsidR="0036574B" w:rsidRPr="00413148">
        <w:t>a</w:t>
      </w:r>
      <w:r w:rsidR="00042E4C" w:rsidRPr="00413148">
        <w:t xml:space="preserve"> request in a timely manner in light of the urgency and reasonableness of the request; and (3) whether the covered entity sought to obstruct or delay the cooperative dialogue or in any way intimidate or deter the </w:t>
      </w:r>
      <w:r w:rsidR="00410924" w:rsidRPr="00413148">
        <w:t>person</w:t>
      </w:r>
      <w:r w:rsidR="00042E4C" w:rsidRPr="00413148">
        <w:t xml:space="preserve"> from requesting the accommodation. An indeterminate delay may have the same effect </w:t>
      </w:r>
      <w:r w:rsidR="00042E4C" w:rsidRPr="00413148">
        <w:rPr>
          <w:szCs w:val="32"/>
        </w:rPr>
        <w:t>as an outright denial.</w:t>
      </w:r>
      <w:r w:rsidR="00042E4C" w:rsidRPr="00413148">
        <w:rPr>
          <w:rStyle w:val="FootnoteReference"/>
          <w:szCs w:val="32"/>
        </w:rPr>
        <w:footnoteReference w:id="83"/>
      </w:r>
      <w:r w:rsidR="00EB583B" w:rsidRPr="00413148">
        <w:rPr>
          <w:szCs w:val="32"/>
        </w:rPr>
        <w:t xml:space="preserve"> </w:t>
      </w:r>
    </w:p>
    <w:p w14:paraId="27DA38FD" w14:textId="77777777" w:rsidR="002B563B" w:rsidRPr="00413148" w:rsidRDefault="002B563B" w:rsidP="00CA6682">
      <w:pPr>
        <w:rPr>
          <w:szCs w:val="32"/>
        </w:rPr>
      </w:pPr>
    </w:p>
    <w:p w14:paraId="7D42BF8C" w14:textId="5E93A5A5" w:rsidR="00042E4C" w:rsidRPr="00413148" w:rsidRDefault="00042E4C" w:rsidP="00113630">
      <w:pPr>
        <w:pStyle w:val="Heading4"/>
        <w:numPr>
          <w:ilvl w:val="0"/>
          <w:numId w:val="24"/>
        </w:numPr>
        <w:spacing w:before="0" w:after="0"/>
        <w:ind w:left="1440" w:hanging="540"/>
        <w:rPr>
          <w:rFonts w:cs="Arial"/>
          <w:b/>
          <w:color w:val="4B0082"/>
          <w:szCs w:val="32"/>
        </w:rPr>
      </w:pPr>
      <w:r w:rsidRPr="00413148">
        <w:rPr>
          <w:rFonts w:cs="Arial"/>
          <w:b/>
          <w:bCs/>
          <w:color w:val="4B0082"/>
          <w:szCs w:val="32"/>
        </w:rPr>
        <w:t xml:space="preserve">Concluding </w:t>
      </w:r>
      <w:r w:rsidR="00ED1272" w:rsidRPr="00413148">
        <w:rPr>
          <w:rFonts w:cs="Arial"/>
          <w:b/>
          <w:bCs/>
          <w:color w:val="4B0082"/>
          <w:szCs w:val="32"/>
        </w:rPr>
        <w:t>a</w:t>
      </w:r>
      <w:r w:rsidRPr="00413148">
        <w:rPr>
          <w:rFonts w:cs="Arial"/>
          <w:b/>
          <w:bCs/>
          <w:color w:val="4B0082"/>
          <w:szCs w:val="32"/>
        </w:rPr>
        <w:t xml:space="preserve"> Cooperative Dialogue</w:t>
      </w:r>
    </w:p>
    <w:p w14:paraId="04BB584C" w14:textId="77777777" w:rsidR="00823C08" w:rsidRPr="00413148" w:rsidRDefault="00823C08" w:rsidP="00CA6682">
      <w:pPr>
        <w:rPr>
          <w:szCs w:val="32"/>
        </w:rPr>
      </w:pPr>
    </w:p>
    <w:p w14:paraId="22370798" w14:textId="6AEDC935" w:rsidR="00042E4C" w:rsidRPr="00413148" w:rsidRDefault="00042E4C" w:rsidP="00CA6682">
      <w:r w:rsidRPr="00413148">
        <w:t xml:space="preserve">The third and final step in the </w:t>
      </w:r>
      <w:r w:rsidR="00364C21" w:rsidRPr="00413148">
        <w:t>cooperative dialogue</w:t>
      </w:r>
      <w:r w:rsidRPr="00413148">
        <w:t xml:space="preserve"> process is concluding the cooperative dialogue. A cooperative dialogue is ongoing until one of the following occurs:</w:t>
      </w:r>
    </w:p>
    <w:p w14:paraId="01ACB0E6" w14:textId="77777777" w:rsidR="00CA6682" w:rsidRPr="00413148" w:rsidRDefault="00CA6682" w:rsidP="00CA6682">
      <w:pPr>
        <w:rPr>
          <w:rFonts w:eastAsia="Times New Roman"/>
        </w:rPr>
      </w:pPr>
    </w:p>
    <w:p w14:paraId="342B1D99" w14:textId="43C8B94E" w:rsidR="00042E4C" w:rsidRPr="00413148" w:rsidRDefault="00042E4C" w:rsidP="00113630">
      <w:pPr>
        <w:pStyle w:val="ListParagraph"/>
        <w:numPr>
          <w:ilvl w:val="0"/>
          <w:numId w:val="26"/>
        </w:numPr>
        <w:ind w:left="1080"/>
        <w:rPr>
          <w:rFonts w:eastAsia="Times New Roman"/>
        </w:rPr>
      </w:pPr>
      <w:r w:rsidRPr="00413148">
        <w:t xml:space="preserve">a reasonable accommodation is </w:t>
      </w:r>
      <w:r w:rsidR="00981864">
        <w:t>provid</w:t>
      </w:r>
      <w:r w:rsidRPr="00413148">
        <w:t xml:space="preserve">ed; or </w:t>
      </w:r>
    </w:p>
    <w:p w14:paraId="751B4614" w14:textId="77777777" w:rsidR="0051237D" w:rsidRPr="00413148" w:rsidRDefault="00042E4C" w:rsidP="00113630">
      <w:pPr>
        <w:pStyle w:val="ListParagraph"/>
        <w:numPr>
          <w:ilvl w:val="0"/>
          <w:numId w:val="26"/>
        </w:numPr>
        <w:ind w:left="1080"/>
      </w:pPr>
      <w:r w:rsidRPr="00413148">
        <w:t>the covered entity reasonably arrives at the conclusion that:</w:t>
      </w:r>
    </w:p>
    <w:p w14:paraId="325C62C1" w14:textId="77777777" w:rsidR="00393A74" w:rsidRPr="00413148" w:rsidRDefault="00042E4C" w:rsidP="00113630">
      <w:pPr>
        <w:pStyle w:val="ListParagraph"/>
        <w:numPr>
          <w:ilvl w:val="1"/>
          <w:numId w:val="26"/>
        </w:numPr>
        <w:ind w:left="1980" w:hanging="540"/>
      </w:pPr>
      <w:proofErr w:type="gramStart"/>
      <w:r w:rsidRPr="00413148">
        <w:t>there</w:t>
      </w:r>
      <w:proofErr w:type="gramEnd"/>
      <w:r w:rsidRPr="00413148">
        <w:t xml:space="preserve"> is no accommodation available that will not cause</w:t>
      </w:r>
      <w:r w:rsidR="00393A74" w:rsidRPr="00413148">
        <w:t xml:space="preserve"> </w:t>
      </w:r>
      <w:r w:rsidR="003C51D6" w:rsidRPr="00413148">
        <w:t xml:space="preserve">the covered entity </w:t>
      </w:r>
      <w:r w:rsidRPr="00413148">
        <w:t xml:space="preserve">an undue </w:t>
      </w:r>
      <w:proofErr w:type="gramStart"/>
      <w:r w:rsidRPr="00413148">
        <w:t>hardship;</w:t>
      </w:r>
      <w:proofErr w:type="gramEnd"/>
      <w:r w:rsidRPr="00413148">
        <w:t xml:space="preserve"> </w:t>
      </w:r>
    </w:p>
    <w:p w14:paraId="1D4558C3" w14:textId="77777777" w:rsidR="00393A74" w:rsidRPr="00413148" w:rsidRDefault="00042E4C" w:rsidP="00113630">
      <w:pPr>
        <w:pStyle w:val="ListParagraph"/>
        <w:numPr>
          <w:ilvl w:val="1"/>
          <w:numId w:val="26"/>
        </w:numPr>
        <w:ind w:left="1980" w:hanging="540"/>
      </w:pPr>
      <w:r w:rsidRPr="00413148">
        <w:t>a reasonable accommodation was identified that meets the person’s needs</w:t>
      </w:r>
      <w:r w:rsidR="00731A04" w:rsidRPr="00413148">
        <w:t>,</w:t>
      </w:r>
      <w:r w:rsidRPr="00413148">
        <w:t xml:space="preserve"> but the person did not accept </w:t>
      </w:r>
      <w:proofErr w:type="gramStart"/>
      <w:r w:rsidRPr="00413148">
        <w:t>it</w:t>
      </w:r>
      <w:proofErr w:type="gramEnd"/>
      <w:r w:rsidRPr="00413148">
        <w:t xml:space="preserve"> and no reasonable alternative was identified during the cooperative dialogue; or </w:t>
      </w:r>
    </w:p>
    <w:p w14:paraId="086AF1BB" w14:textId="77777777" w:rsidR="00042E4C" w:rsidRPr="00413148" w:rsidRDefault="00042E4C" w:rsidP="00113630">
      <w:pPr>
        <w:pStyle w:val="ListParagraph"/>
        <w:numPr>
          <w:ilvl w:val="1"/>
          <w:numId w:val="26"/>
        </w:numPr>
        <w:ind w:left="1980" w:hanging="540"/>
      </w:pPr>
      <w:proofErr w:type="gramStart"/>
      <w:r w:rsidRPr="00413148">
        <w:lastRenderedPageBreak/>
        <w:t>there</w:t>
      </w:r>
      <w:proofErr w:type="gramEnd"/>
      <w:r w:rsidRPr="00413148">
        <w:t xml:space="preserve"> is no acco</w:t>
      </w:r>
      <w:r w:rsidR="00823C08" w:rsidRPr="00413148">
        <w:t>m</w:t>
      </w:r>
      <w:r w:rsidRPr="00413148">
        <w:t xml:space="preserve">modation available that will allow the person to perform the essential requisites of the </w:t>
      </w:r>
      <w:proofErr w:type="gramStart"/>
      <w:r w:rsidRPr="00413148">
        <w:t>job, or</w:t>
      </w:r>
      <w:proofErr w:type="gramEnd"/>
      <w:r w:rsidRPr="00413148">
        <w:t xml:space="preserve"> otherwise enjoy the rights in question.</w:t>
      </w:r>
    </w:p>
    <w:p w14:paraId="09C851F4" w14:textId="77777777" w:rsidR="00042E4C" w:rsidRPr="00413148" w:rsidRDefault="00042E4C" w:rsidP="00CA6682"/>
    <w:p w14:paraId="64FCA7E6" w14:textId="77777777" w:rsidR="00042E4C" w:rsidRPr="00413148" w:rsidRDefault="00925544" w:rsidP="00CA6682">
      <w:pPr>
        <w:rPr>
          <w:rFonts w:eastAsia="Times New Roman"/>
        </w:rPr>
      </w:pPr>
      <w:r w:rsidRPr="00413148">
        <w:t xml:space="preserve">Covered </w:t>
      </w:r>
      <w:r w:rsidR="00042E4C" w:rsidRPr="00413148">
        <w:t>employ</w:t>
      </w:r>
      <w:r w:rsidRPr="00413148">
        <w:t>ers</w:t>
      </w:r>
      <w:r w:rsidR="00042E4C" w:rsidRPr="00413148">
        <w:t xml:space="preserve"> and housing </w:t>
      </w:r>
      <w:r w:rsidRPr="00413148">
        <w:t>providers must</w:t>
      </w:r>
      <w:r w:rsidR="00042E4C" w:rsidRPr="00413148">
        <w:rPr>
          <w:rFonts w:eastAsia="Times New Roman"/>
        </w:rPr>
        <w:t xml:space="preserve"> </w:t>
      </w:r>
      <w:r w:rsidR="00E04449" w:rsidRPr="00413148">
        <w:rPr>
          <w:rFonts w:eastAsia="Times New Roman"/>
        </w:rPr>
        <w:t xml:space="preserve">conclude every cooperative dialogue </w:t>
      </w:r>
      <w:r w:rsidR="00042E4C" w:rsidRPr="00413148">
        <w:rPr>
          <w:rFonts w:eastAsia="Times New Roman"/>
        </w:rPr>
        <w:t xml:space="preserve">with a written final determination identifying </w:t>
      </w:r>
      <w:r w:rsidR="00744EDC" w:rsidRPr="00413148">
        <w:rPr>
          <w:rFonts w:eastAsia="Times New Roman"/>
        </w:rPr>
        <w:t>the</w:t>
      </w:r>
      <w:r w:rsidR="00042E4C" w:rsidRPr="00413148">
        <w:rPr>
          <w:rFonts w:eastAsia="Times New Roman"/>
        </w:rPr>
        <w:t xml:space="preserve"> accommodation</w:t>
      </w:r>
      <w:r w:rsidR="00744EDC" w:rsidRPr="00413148">
        <w:rPr>
          <w:rFonts w:eastAsia="Times New Roman"/>
        </w:rPr>
        <w:t>(s)</w:t>
      </w:r>
      <w:r w:rsidR="00042E4C" w:rsidRPr="00413148">
        <w:rPr>
          <w:rFonts w:eastAsia="Times New Roman"/>
        </w:rPr>
        <w:t xml:space="preserve"> granted</w:t>
      </w:r>
      <w:r w:rsidR="008256E2" w:rsidRPr="00413148">
        <w:rPr>
          <w:rFonts w:eastAsia="Times New Roman"/>
        </w:rPr>
        <w:t xml:space="preserve"> or denied</w:t>
      </w:r>
      <w:r w:rsidR="00042E4C" w:rsidRPr="00413148">
        <w:rPr>
          <w:rFonts w:eastAsia="Times New Roman"/>
        </w:rPr>
        <w:t>.</w:t>
      </w:r>
      <w:r w:rsidR="00042E4C" w:rsidRPr="00413148">
        <w:rPr>
          <w:rStyle w:val="FootnoteReference"/>
        </w:rPr>
        <w:footnoteReference w:id="84"/>
      </w:r>
      <w:r w:rsidR="00042E4C" w:rsidRPr="00413148">
        <w:rPr>
          <w:rFonts w:eastAsia="Times New Roman"/>
        </w:rPr>
        <w:t xml:space="preserve"> Failure by an employer or housing provider to provide the required written final determination to the individual requesting the accommodation is a distinct violation of the NYCHRL. There is no requirement for a written determination in the context of public accommodations</w:t>
      </w:r>
      <w:r w:rsidR="00090183" w:rsidRPr="00413148">
        <w:rPr>
          <w:rFonts w:eastAsia="Times New Roman"/>
        </w:rPr>
        <w:t xml:space="preserve">, but </w:t>
      </w:r>
      <w:r w:rsidR="00CA1F12" w:rsidRPr="00413148">
        <w:rPr>
          <w:rFonts w:eastAsia="Times New Roman"/>
        </w:rPr>
        <w:t xml:space="preserve">places of public accommodation </w:t>
      </w:r>
      <w:r w:rsidR="00090183" w:rsidRPr="00413148">
        <w:rPr>
          <w:rFonts w:eastAsia="Times New Roman"/>
        </w:rPr>
        <w:t xml:space="preserve">are </w:t>
      </w:r>
      <w:r w:rsidR="0007739A" w:rsidRPr="00413148">
        <w:rPr>
          <w:rFonts w:eastAsia="Times New Roman"/>
        </w:rPr>
        <w:t xml:space="preserve">encouraged to </w:t>
      </w:r>
      <w:r w:rsidR="00090183" w:rsidRPr="00413148">
        <w:rPr>
          <w:rFonts w:eastAsia="Times New Roman"/>
        </w:rPr>
        <w:t>do</w:t>
      </w:r>
      <w:r w:rsidR="43E748C3" w:rsidRPr="00413148">
        <w:t>cument in writing</w:t>
      </w:r>
      <w:r w:rsidR="00090183" w:rsidRPr="00413148">
        <w:rPr>
          <w:rFonts w:eastAsia="Times New Roman"/>
        </w:rPr>
        <w:t xml:space="preserve">, especially in circumstances where the individual may have a </w:t>
      </w:r>
      <w:r w:rsidR="00CF5905" w:rsidRPr="00413148">
        <w:rPr>
          <w:rFonts w:eastAsia="Times New Roman"/>
        </w:rPr>
        <w:t>longstanding relationship with the place of public accommodation</w:t>
      </w:r>
      <w:r w:rsidR="02F5EBB6" w:rsidRPr="00413148">
        <w:rPr>
          <w:rFonts w:eastAsia="Times New Roman"/>
        </w:rPr>
        <w:t xml:space="preserve">, such as </w:t>
      </w:r>
      <w:r w:rsidR="00FE601B" w:rsidRPr="00413148">
        <w:rPr>
          <w:rFonts w:eastAsia="Times New Roman"/>
        </w:rPr>
        <w:t>a school setting</w:t>
      </w:r>
      <w:r w:rsidR="00042E4C" w:rsidRPr="00413148">
        <w:rPr>
          <w:rFonts w:eastAsia="Times New Roman"/>
        </w:rPr>
        <w:t>.</w:t>
      </w:r>
    </w:p>
    <w:p w14:paraId="4BC20D7A" w14:textId="77777777" w:rsidR="00042E4C" w:rsidRPr="00413148" w:rsidRDefault="00042E4C" w:rsidP="00CA6682">
      <w:pPr>
        <w:rPr>
          <w:rFonts w:eastAsia="Times New Roman"/>
        </w:rPr>
      </w:pPr>
    </w:p>
    <w:p w14:paraId="0CD39925" w14:textId="5EE9D802" w:rsidR="00CA6682" w:rsidRPr="00413148" w:rsidRDefault="00042E4C" w:rsidP="00CA6682">
      <w:r w:rsidRPr="00413148">
        <w:t xml:space="preserve">In most circumstances, if an individual with a disability rejects an accommodation offered by the covered entity, the covered entity should continue to engage with the individual to identify alternatives. However, if the individual rejects </w:t>
      </w:r>
      <w:r w:rsidR="00DE316B" w:rsidRPr="00413148">
        <w:t>proposed</w:t>
      </w:r>
      <w:r w:rsidRPr="00413148">
        <w:t xml:space="preserve"> accommodations that would not cause an undue hardship to the covered entity and would </w:t>
      </w:r>
      <w:r w:rsidR="007A6B6E" w:rsidRPr="00413148">
        <w:t xml:space="preserve">effectively </w:t>
      </w:r>
      <w:r w:rsidRPr="00413148">
        <w:t xml:space="preserve">meet the individual’s needs and/or would allow the </w:t>
      </w:r>
      <w:r w:rsidR="00CC1FD9" w:rsidRPr="00413148">
        <w:t>person</w:t>
      </w:r>
      <w:r w:rsidRPr="00413148">
        <w:t xml:space="preserve"> to perform the essential requisites of the job and is unwilling to propose any alternative options that would address the individual’s needs, the covered entity may conclude the cooperative dialogue as summarized in the preceding paragraph. </w:t>
      </w:r>
    </w:p>
    <w:p w14:paraId="35E4C3BC" w14:textId="77777777" w:rsidR="00E35BCF" w:rsidRPr="00413148" w:rsidRDefault="00E35BCF" w:rsidP="00CA6682"/>
    <w:p w14:paraId="115C7FE2" w14:textId="579F141E" w:rsidR="00042E4C" w:rsidRPr="00413148" w:rsidRDefault="30CF235B" w:rsidP="00064CAB">
      <w:r w:rsidRPr="00413148">
        <w:t xml:space="preserve">In a situation where there are two or more possible accommodations </w:t>
      </w:r>
      <w:r w:rsidR="6BDA47B4" w:rsidRPr="00413148">
        <w:t xml:space="preserve">that equally meet the needs of a person with disabilities </w:t>
      </w:r>
      <w:r w:rsidRPr="00413148">
        <w:t xml:space="preserve">and one costs more or is more burdensome than the other(s), the </w:t>
      </w:r>
      <w:r w:rsidR="00BE768A" w:rsidRPr="00413148">
        <w:t>preference of the individual requesting the accommodation should be given primary consideration</w:t>
      </w:r>
      <w:r w:rsidR="00BC632A" w:rsidRPr="00413148">
        <w:t>, but</w:t>
      </w:r>
      <w:r w:rsidR="00BE768A" w:rsidRPr="00413148">
        <w:t xml:space="preserve"> </w:t>
      </w:r>
      <w:r w:rsidRPr="00413148">
        <w:t xml:space="preserve">the covered entity may choose the less expensive or burdensome accommodation. </w:t>
      </w:r>
      <w:r w:rsidR="00BE5D8B" w:rsidRPr="00413148">
        <w:t>However, i</w:t>
      </w:r>
      <w:r w:rsidR="00A15FB7" w:rsidRPr="00413148">
        <w:t xml:space="preserve">n situations where multiple potential accommodations have been identified, </w:t>
      </w:r>
      <w:r w:rsidR="00A234BA" w:rsidRPr="00413148">
        <w:t>and</w:t>
      </w:r>
      <w:r w:rsidR="001D1F61" w:rsidRPr="00413148">
        <w:t xml:space="preserve"> one be</w:t>
      </w:r>
      <w:r w:rsidR="00B3114B" w:rsidRPr="00413148">
        <w:t>s</w:t>
      </w:r>
      <w:r w:rsidR="001D1F61" w:rsidRPr="00413148">
        <w:t>t enable</w:t>
      </w:r>
      <w:r w:rsidR="00DE3FC7" w:rsidRPr="00413148">
        <w:t>s</w:t>
      </w:r>
      <w:r w:rsidR="001D1F61" w:rsidRPr="00413148">
        <w:t xml:space="preserve"> the individual </w:t>
      </w:r>
      <w:r w:rsidR="00DE3FC7" w:rsidRPr="00413148">
        <w:t>entitle</w:t>
      </w:r>
      <w:r w:rsidR="4E13E3A5" w:rsidRPr="00413148">
        <w:t>d</w:t>
      </w:r>
      <w:r w:rsidR="00DE3FC7" w:rsidRPr="00413148">
        <w:t xml:space="preserve"> to an</w:t>
      </w:r>
      <w:r w:rsidR="001D1F61" w:rsidRPr="00413148">
        <w:t xml:space="preserve"> accommodation to enjoy the right</w:t>
      </w:r>
      <w:r w:rsidR="00DE3FC7" w:rsidRPr="00413148">
        <w:t>(s)</w:t>
      </w:r>
      <w:r w:rsidR="00C4466E" w:rsidRPr="00413148">
        <w:t xml:space="preserve"> in question, </w:t>
      </w:r>
      <w:r w:rsidR="0039739C" w:rsidRPr="00413148">
        <w:t>whi</w:t>
      </w:r>
      <w:r w:rsidR="00B06010" w:rsidRPr="00413148">
        <w:t>le the other accommodation</w:t>
      </w:r>
      <w:r w:rsidR="00B443E8" w:rsidRPr="00413148">
        <w:t>(</w:t>
      </w:r>
      <w:r w:rsidR="00B06010" w:rsidRPr="00413148">
        <w:t>s</w:t>
      </w:r>
      <w:r w:rsidR="00B443E8" w:rsidRPr="00413148">
        <w:t>)</w:t>
      </w:r>
      <w:r w:rsidR="00B06010" w:rsidRPr="00413148">
        <w:t xml:space="preserve"> would result in more limited</w:t>
      </w:r>
      <w:r w:rsidR="00A234BA" w:rsidRPr="00413148">
        <w:t xml:space="preserve"> enjoyment of the rights in question, </w:t>
      </w:r>
      <w:r w:rsidRPr="00413148">
        <w:t xml:space="preserve">the covered entity </w:t>
      </w:r>
      <w:r w:rsidR="00780EC6" w:rsidRPr="00413148">
        <w:t>must</w:t>
      </w:r>
      <w:r w:rsidR="0084707E" w:rsidRPr="00413148">
        <w:t xml:space="preserve"> </w:t>
      </w:r>
      <w:r w:rsidR="00780EC6" w:rsidRPr="00413148">
        <w:t xml:space="preserve">provide the </w:t>
      </w:r>
      <w:r w:rsidR="0084707E" w:rsidRPr="00413148">
        <w:t xml:space="preserve">accommodation </w:t>
      </w:r>
      <w:r w:rsidR="56D1CE5F" w:rsidRPr="00413148">
        <w:t xml:space="preserve">that </w:t>
      </w:r>
      <w:r w:rsidR="349ED72D" w:rsidRPr="00413148">
        <w:t xml:space="preserve">best </w:t>
      </w:r>
      <w:r w:rsidR="00B3114B" w:rsidRPr="00413148">
        <w:t xml:space="preserve">enables </w:t>
      </w:r>
      <w:r w:rsidR="731AACEC" w:rsidRPr="00413148">
        <w:t xml:space="preserve">full </w:t>
      </w:r>
      <w:r w:rsidR="00B3114B" w:rsidRPr="00413148">
        <w:t>enjoyment of the right</w:t>
      </w:r>
      <w:r w:rsidR="00664014" w:rsidRPr="00413148">
        <w:t>(s)</w:t>
      </w:r>
      <w:r w:rsidR="00C5234E" w:rsidRPr="00413148">
        <w:t xml:space="preserve">, unless </w:t>
      </w:r>
      <w:r w:rsidR="00E51C2A" w:rsidRPr="00413148">
        <w:t>doing so</w:t>
      </w:r>
      <w:r w:rsidR="00C5234E" w:rsidRPr="00413148">
        <w:t xml:space="preserve"> would cause an undue hardship</w:t>
      </w:r>
      <w:r w:rsidRPr="00413148">
        <w:t>.</w:t>
      </w:r>
      <w:r w:rsidR="00042E4C" w:rsidRPr="00413148">
        <w:rPr>
          <w:rStyle w:val="FootnoteReference"/>
        </w:rPr>
        <w:footnoteReference w:id="85"/>
      </w:r>
      <w:r w:rsidR="0064128D" w:rsidRPr="00413148">
        <w:t xml:space="preserve"> For example, if a resident with mobility issues requests making the building where they live accessible as an accommodation</w:t>
      </w:r>
      <w:r w:rsidR="00C956FD" w:rsidRPr="00413148">
        <w:t>,</w:t>
      </w:r>
      <w:r w:rsidR="0064128D" w:rsidRPr="00413148">
        <w:t xml:space="preserve"> a housing provider must make the primary entrance accessible</w:t>
      </w:r>
      <w:r w:rsidR="005670EF" w:rsidRPr="00413148">
        <w:t>, unless doing so would cause an undue hardship.</w:t>
      </w:r>
      <w:r w:rsidR="009434FF" w:rsidRPr="00413148">
        <w:rPr>
          <w:rStyle w:val="FootnoteReference"/>
        </w:rPr>
        <w:footnoteReference w:id="86"/>
      </w:r>
    </w:p>
    <w:p w14:paraId="24A2B029" w14:textId="77777777" w:rsidR="00143BB6" w:rsidRPr="00413148" w:rsidRDefault="00143BB6" w:rsidP="00064CAB"/>
    <w:p w14:paraId="104CCB12" w14:textId="77777777" w:rsidR="00042E4C" w:rsidRPr="00413148" w:rsidRDefault="00042E4C" w:rsidP="00113630">
      <w:pPr>
        <w:pStyle w:val="Heading4"/>
        <w:numPr>
          <w:ilvl w:val="0"/>
          <w:numId w:val="24"/>
        </w:numPr>
        <w:spacing w:before="0" w:after="0"/>
        <w:ind w:left="1440" w:hanging="540"/>
        <w:rPr>
          <w:rFonts w:cs="Arial"/>
          <w:b/>
          <w:bCs/>
          <w:color w:val="4B0082"/>
          <w:szCs w:val="32"/>
        </w:rPr>
      </w:pPr>
      <w:r w:rsidRPr="00413148">
        <w:rPr>
          <w:rFonts w:cs="Arial"/>
          <w:b/>
          <w:bCs/>
          <w:color w:val="4B0082"/>
          <w:szCs w:val="32"/>
        </w:rPr>
        <w:lastRenderedPageBreak/>
        <w:t>Follow the Three-</w:t>
      </w:r>
      <w:r w:rsidR="00617C27" w:rsidRPr="00413148">
        <w:rPr>
          <w:rFonts w:cs="Arial"/>
          <w:b/>
          <w:bCs/>
          <w:color w:val="4B0082"/>
          <w:szCs w:val="32"/>
        </w:rPr>
        <w:t>S</w:t>
      </w:r>
      <w:r w:rsidRPr="00413148">
        <w:rPr>
          <w:rFonts w:cs="Arial"/>
          <w:b/>
          <w:bCs/>
          <w:color w:val="4B0082"/>
          <w:szCs w:val="32"/>
        </w:rPr>
        <w:t>tep Process</w:t>
      </w:r>
      <w:r w:rsidR="00FD4A10" w:rsidRPr="00413148">
        <w:rPr>
          <w:rFonts w:cs="Arial"/>
          <w:b/>
          <w:bCs/>
          <w:color w:val="4B0082"/>
          <w:szCs w:val="32"/>
        </w:rPr>
        <w:t xml:space="preserve"> for </w:t>
      </w:r>
      <w:r w:rsidR="00617C27" w:rsidRPr="00413148">
        <w:rPr>
          <w:rFonts w:cs="Arial"/>
          <w:b/>
          <w:bCs/>
          <w:color w:val="4B0082"/>
          <w:szCs w:val="32"/>
        </w:rPr>
        <w:t>E</w:t>
      </w:r>
      <w:r w:rsidR="00FD4A10" w:rsidRPr="00413148">
        <w:rPr>
          <w:rFonts w:cs="Arial"/>
          <w:b/>
          <w:bCs/>
          <w:color w:val="4B0082"/>
          <w:szCs w:val="32"/>
        </w:rPr>
        <w:t>v</w:t>
      </w:r>
      <w:r w:rsidR="00D7406F" w:rsidRPr="00413148">
        <w:rPr>
          <w:rFonts w:cs="Arial"/>
          <w:b/>
          <w:bCs/>
          <w:color w:val="4B0082"/>
          <w:szCs w:val="32"/>
        </w:rPr>
        <w:t>ery Accommodation</w:t>
      </w:r>
    </w:p>
    <w:p w14:paraId="6D173187" w14:textId="77777777" w:rsidR="00042E4C" w:rsidRPr="00413148" w:rsidRDefault="00042E4C" w:rsidP="00064CAB">
      <w:pPr>
        <w:rPr>
          <w:szCs w:val="32"/>
        </w:rPr>
      </w:pPr>
    </w:p>
    <w:p w14:paraId="2DD3E687" w14:textId="77777777" w:rsidR="00042E4C" w:rsidRPr="00413148" w:rsidRDefault="00A61500" w:rsidP="00064CAB">
      <w:pPr>
        <w:rPr>
          <w:szCs w:val="32"/>
        </w:rPr>
      </w:pPr>
      <w:r w:rsidRPr="00413148">
        <w:rPr>
          <w:szCs w:val="32"/>
        </w:rPr>
        <w:t>People</w:t>
      </w:r>
      <w:r w:rsidR="00042E4C" w:rsidRPr="00413148">
        <w:rPr>
          <w:szCs w:val="32"/>
        </w:rPr>
        <w:t>’s condition</w:t>
      </w:r>
      <w:r w:rsidRPr="00413148">
        <w:rPr>
          <w:szCs w:val="32"/>
        </w:rPr>
        <w:t>s</w:t>
      </w:r>
      <w:r w:rsidR="00042E4C" w:rsidRPr="00413148">
        <w:rPr>
          <w:szCs w:val="32"/>
        </w:rPr>
        <w:t xml:space="preserve"> may change over time, </w:t>
      </w:r>
      <w:r w:rsidR="00C40078" w:rsidRPr="00413148">
        <w:rPr>
          <w:szCs w:val="32"/>
        </w:rPr>
        <w:t>and</w:t>
      </w:r>
      <w:r w:rsidR="00042E4C" w:rsidRPr="00413148">
        <w:rPr>
          <w:szCs w:val="32"/>
        </w:rPr>
        <w:t xml:space="preserve"> individual</w:t>
      </w:r>
      <w:r w:rsidR="008C7958" w:rsidRPr="00413148">
        <w:rPr>
          <w:szCs w:val="32"/>
        </w:rPr>
        <w:t>s</w:t>
      </w:r>
      <w:r w:rsidR="00042E4C" w:rsidRPr="00413148">
        <w:rPr>
          <w:szCs w:val="32"/>
        </w:rPr>
        <w:t xml:space="preserve"> may make new requests for different or additional accommodations. Each time an individual makes a new request, the covered entity must </w:t>
      </w:r>
      <w:r w:rsidR="00A46508" w:rsidRPr="00413148">
        <w:rPr>
          <w:szCs w:val="32"/>
        </w:rPr>
        <w:t>begin</w:t>
      </w:r>
      <w:r w:rsidR="00042E4C" w:rsidRPr="00413148">
        <w:rPr>
          <w:szCs w:val="32"/>
        </w:rPr>
        <w:t xml:space="preserve"> a new cooperative dialogue with the individual. Where an accommodation proposed by an individual with a disability is immediately agreed to by a covered entity, the cooperative dialogue will consist solely of the individual with a disability making the request and the covered entity granting the accommodation; even in these circumstances, </w:t>
      </w:r>
      <w:r w:rsidR="00235255" w:rsidRPr="00413148">
        <w:rPr>
          <w:szCs w:val="32"/>
        </w:rPr>
        <w:t xml:space="preserve">written </w:t>
      </w:r>
      <w:r w:rsidR="00042E4C" w:rsidRPr="00413148">
        <w:rPr>
          <w:szCs w:val="32"/>
        </w:rPr>
        <w:t>documentation of the final determination is still required in the c</w:t>
      </w:r>
      <w:r w:rsidR="00AF4500" w:rsidRPr="00413148">
        <w:rPr>
          <w:szCs w:val="32"/>
        </w:rPr>
        <w:t>onte</w:t>
      </w:r>
      <w:r w:rsidR="00C85A07" w:rsidRPr="00413148">
        <w:rPr>
          <w:szCs w:val="32"/>
        </w:rPr>
        <w:t>x</w:t>
      </w:r>
      <w:r w:rsidR="00AF4500" w:rsidRPr="00413148">
        <w:rPr>
          <w:szCs w:val="32"/>
        </w:rPr>
        <w:t>ts</w:t>
      </w:r>
      <w:r w:rsidR="00042E4C" w:rsidRPr="00413148">
        <w:rPr>
          <w:szCs w:val="32"/>
        </w:rPr>
        <w:t xml:space="preserve"> of employ</w:t>
      </w:r>
      <w:r w:rsidR="00AF4500" w:rsidRPr="00413148">
        <w:rPr>
          <w:szCs w:val="32"/>
        </w:rPr>
        <w:t>ment</w:t>
      </w:r>
      <w:r w:rsidR="00042E4C" w:rsidRPr="00413148">
        <w:rPr>
          <w:szCs w:val="32"/>
        </w:rPr>
        <w:t xml:space="preserve"> and housing.</w:t>
      </w:r>
    </w:p>
    <w:p w14:paraId="353FA4D5" w14:textId="77777777" w:rsidR="00042E4C" w:rsidRPr="00413148" w:rsidRDefault="00042E4C" w:rsidP="00064CAB">
      <w:pPr>
        <w:rPr>
          <w:szCs w:val="32"/>
        </w:rPr>
      </w:pPr>
    </w:p>
    <w:p w14:paraId="65A34669" w14:textId="77777777" w:rsidR="00042E4C" w:rsidRPr="00413148" w:rsidRDefault="00042E4C" w:rsidP="00113630">
      <w:pPr>
        <w:pStyle w:val="Heading4"/>
        <w:numPr>
          <w:ilvl w:val="0"/>
          <w:numId w:val="24"/>
        </w:numPr>
        <w:spacing w:before="0" w:after="0"/>
        <w:ind w:left="1440" w:hanging="540"/>
        <w:rPr>
          <w:rFonts w:cs="Arial"/>
          <w:b/>
          <w:bCs/>
          <w:color w:val="4B0082"/>
          <w:szCs w:val="32"/>
        </w:rPr>
      </w:pPr>
      <w:r w:rsidRPr="00413148">
        <w:rPr>
          <w:rFonts w:cs="Arial"/>
          <w:b/>
          <w:bCs/>
          <w:color w:val="4B0082"/>
          <w:szCs w:val="32"/>
        </w:rPr>
        <w:t>Scope of Cooperative Dialogue</w:t>
      </w:r>
      <w:r w:rsidR="00ED1272" w:rsidRPr="00413148">
        <w:rPr>
          <w:rFonts w:cs="Arial"/>
          <w:b/>
          <w:bCs/>
          <w:color w:val="4B0082"/>
          <w:szCs w:val="32"/>
        </w:rPr>
        <w:t>s</w:t>
      </w:r>
      <w:r w:rsidRPr="00413148">
        <w:rPr>
          <w:rFonts w:cs="Arial"/>
          <w:b/>
          <w:bCs/>
          <w:color w:val="4B0082"/>
          <w:szCs w:val="32"/>
        </w:rPr>
        <w:t xml:space="preserve"> </w:t>
      </w:r>
      <w:r w:rsidR="009E55AB" w:rsidRPr="00413148">
        <w:rPr>
          <w:rFonts w:cs="Arial"/>
          <w:b/>
          <w:bCs/>
          <w:color w:val="4B0082"/>
          <w:szCs w:val="32"/>
        </w:rPr>
        <w:t>and</w:t>
      </w:r>
      <w:r w:rsidR="00722F3B" w:rsidRPr="00413148">
        <w:rPr>
          <w:rFonts w:cs="Arial"/>
          <w:b/>
          <w:bCs/>
          <w:color w:val="4B0082"/>
          <w:szCs w:val="32"/>
        </w:rPr>
        <w:t xml:space="preserve"> Documentation </w:t>
      </w:r>
      <w:r w:rsidRPr="00413148">
        <w:rPr>
          <w:rFonts w:cs="Arial"/>
          <w:b/>
          <w:bCs/>
          <w:color w:val="4B0082"/>
          <w:szCs w:val="32"/>
        </w:rPr>
        <w:t>for New Patrons, Housing</w:t>
      </w:r>
      <w:r w:rsidR="00160486" w:rsidRPr="00413148">
        <w:rPr>
          <w:rFonts w:cs="Arial"/>
          <w:b/>
          <w:bCs/>
          <w:color w:val="4B0082"/>
          <w:szCs w:val="32"/>
        </w:rPr>
        <w:t xml:space="preserve"> </w:t>
      </w:r>
      <w:r w:rsidRPr="00413148">
        <w:rPr>
          <w:rFonts w:cs="Arial"/>
          <w:b/>
          <w:bCs/>
          <w:color w:val="4B0082"/>
          <w:szCs w:val="32"/>
        </w:rPr>
        <w:t>Applicants</w:t>
      </w:r>
      <w:r w:rsidR="009E55AB" w:rsidRPr="00413148">
        <w:rPr>
          <w:rFonts w:cs="Arial"/>
          <w:b/>
          <w:bCs/>
          <w:color w:val="4B0082"/>
          <w:szCs w:val="32"/>
        </w:rPr>
        <w:t>,</w:t>
      </w:r>
      <w:r w:rsidRPr="00413148">
        <w:rPr>
          <w:rFonts w:cs="Arial"/>
          <w:b/>
          <w:bCs/>
          <w:color w:val="4B0082"/>
          <w:szCs w:val="32"/>
        </w:rPr>
        <w:t xml:space="preserve"> and Job Applicants </w:t>
      </w:r>
    </w:p>
    <w:p w14:paraId="43D10B7A" w14:textId="77777777" w:rsidR="00042E4C" w:rsidRPr="00413148" w:rsidRDefault="00042E4C" w:rsidP="00064CAB">
      <w:pPr>
        <w:rPr>
          <w:szCs w:val="32"/>
        </w:rPr>
      </w:pPr>
    </w:p>
    <w:p w14:paraId="45B21F49" w14:textId="77777777" w:rsidR="00042E4C" w:rsidRPr="00413148" w:rsidRDefault="00042E4C" w:rsidP="00064CAB">
      <w:pPr>
        <w:rPr>
          <w:szCs w:val="32"/>
        </w:rPr>
      </w:pPr>
      <w:r w:rsidRPr="00413148">
        <w:rPr>
          <w:szCs w:val="32"/>
        </w:rPr>
        <w:t>The NYCHRL prohibits covered entities from expressing, directly or indirectly, any limitation, specification, or discrimination against an individual with a disability in applications or interviews. However, if an individual requests a reasonable accommodation during the application process, the covered entity is entitled to obtain the information necessary to evaluate if the requested accommodation is being sought due to a disability.</w:t>
      </w:r>
      <w:r w:rsidRPr="00413148">
        <w:rPr>
          <w:rStyle w:val="FootnoteReference"/>
          <w:szCs w:val="32"/>
        </w:rPr>
        <w:footnoteReference w:id="87"/>
      </w:r>
      <w:r w:rsidRPr="00413148">
        <w:rPr>
          <w:szCs w:val="32"/>
        </w:rPr>
        <w:t xml:space="preserve"> If a disability is readily apparent—for example, if an individual requesting a ramp is in a wheelchair—formal medical documentation or additional information is not </w:t>
      </w:r>
      <w:r w:rsidRPr="00413148">
        <w:rPr>
          <w:szCs w:val="32"/>
        </w:rPr>
        <w:lastRenderedPageBreak/>
        <w:t>necessary to evaluate the accommodation. A covered entity may only make inquiries that will allow them to assess the individual needs of the requester and the reasonableness of the request as part of the cooperative dialogue.</w:t>
      </w:r>
    </w:p>
    <w:p w14:paraId="5D6716CC" w14:textId="77777777" w:rsidR="00042E4C" w:rsidRPr="00413148" w:rsidRDefault="00042E4C" w:rsidP="00064CAB">
      <w:pPr>
        <w:rPr>
          <w:szCs w:val="32"/>
        </w:rPr>
      </w:pPr>
    </w:p>
    <w:p w14:paraId="56E283CC" w14:textId="77777777" w:rsidR="00042E4C" w:rsidRPr="00413148" w:rsidRDefault="00042E4C" w:rsidP="00113630">
      <w:pPr>
        <w:pStyle w:val="Heading4"/>
        <w:numPr>
          <w:ilvl w:val="0"/>
          <w:numId w:val="24"/>
        </w:numPr>
        <w:spacing w:before="0" w:after="0"/>
        <w:ind w:left="1440" w:hanging="540"/>
        <w:rPr>
          <w:rFonts w:cs="Arial"/>
          <w:b/>
          <w:bCs/>
          <w:color w:val="4B0082"/>
          <w:szCs w:val="32"/>
        </w:rPr>
      </w:pPr>
      <w:r w:rsidRPr="00413148">
        <w:rPr>
          <w:rFonts w:cs="Arial"/>
          <w:b/>
          <w:bCs/>
          <w:color w:val="4B0082"/>
          <w:szCs w:val="32"/>
        </w:rPr>
        <w:t>Scope of Cooperative Dialogue</w:t>
      </w:r>
      <w:r w:rsidR="00ED1272" w:rsidRPr="00413148">
        <w:rPr>
          <w:rFonts w:cs="Arial"/>
          <w:b/>
          <w:bCs/>
          <w:color w:val="4B0082"/>
          <w:szCs w:val="32"/>
        </w:rPr>
        <w:t>s</w:t>
      </w:r>
      <w:r w:rsidRPr="00413148">
        <w:rPr>
          <w:rFonts w:cs="Arial"/>
          <w:b/>
          <w:bCs/>
          <w:color w:val="4B0082"/>
          <w:szCs w:val="32"/>
        </w:rPr>
        <w:t xml:space="preserve"> </w:t>
      </w:r>
      <w:r w:rsidR="006D419E" w:rsidRPr="00413148">
        <w:rPr>
          <w:rFonts w:cs="Arial"/>
          <w:b/>
          <w:bCs/>
          <w:color w:val="4B0082"/>
          <w:szCs w:val="32"/>
        </w:rPr>
        <w:t xml:space="preserve">and Documentation </w:t>
      </w:r>
      <w:r w:rsidRPr="00413148">
        <w:rPr>
          <w:rFonts w:cs="Arial"/>
          <w:b/>
          <w:bCs/>
          <w:color w:val="4B0082"/>
          <w:szCs w:val="32"/>
        </w:rPr>
        <w:t>for Existing Patrons, Residents</w:t>
      </w:r>
      <w:r w:rsidR="0056531D" w:rsidRPr="00413148">
        <w:rPr>
          <w:rFonts w:cs="Arial"/>
          <w:b/>
          <w:bCs/>
          <w:color w:val="4B0082"/>
          <w:szCs w:val="32"/>
        </w:rPr>
        <w:t>,</w:t>
      </w:r>
      <w:r w:rsidRPr="00413148">
        <w:rPr>
          <w:rFonts w:cs="Arial"/>
          <w:b/>
          <w:bCs/>
          <w:color w:val="4B0082"/>
          <w:szCs w:val="32"/>
        </w:rPr>
        <w:t xml:space="preserve"> and Employees</w:t>
      </w:r>
    </w:p>
    <w:p w14:paraId="4AE71455" w14:textId="77777777" w:rsidR="00042E4C" w:rsidRPr="00413148" w:rsidRDefault="00042E4C" w:rsidP="00064CAB">
      <w:pPr>
        <w:rPr>
          <w:szCs w:val="32"/>
        </w:rPr>
      </w:pPr>
    </w:p>
    <w:p w14:paraId="1E03D7F3" w14:textId="77777777" w:rsidR="00042E4C" w:rsidRPr="00413148" w:rsidRDefault="00042E4C" w:rsidP="00064CAB">
      <w:pPr>
        <w:rPr>
          <w:szCs w:val="32"/>
        </w:rPr>
      </w:pPr>
      <w:r w:rsidRPr="00413148">
        <w:rPr>
          <w:szCs w:val="32"/>
        </w:rPr>
        <w:t xml:space="preserve">When an individual requests an accommodation, the need for which is not readily apparent, a covered entity may ask the individual to provide medical documentation, such as a note from the individual’s </w:t>
      </w:r>
      <w:r w:rsidR="001605EF" w:rsidRPr="00413148">
        <w:rPr>
          <w:szCs w:val="32"/>
        </w:rPr>
        <w:t>health professional</w:t>
      </w:r>
      <w:r w:rsidRPr="00413148">
        <w:rPr>
          <w:szCs w:val="32"/>
        </w:rPr>
        <w:t>, that is sufficient to substantiate</w:t>
      </w:r>
      <w:r w:rsidR="006C1B98" w:rsidRPr="00413148">
        <w:rPr>
          <w:szCs w:val="32"/>
        </w:rPr>
        <w:t>: (1)</w:t>
      </w:r>
      <w:r w:rsidRPr="00413148">
        <w:rPr>
          <w:szCs w:val="32"/>
        </w:rPr>
        <w:t xml:space="preserve"> that the requester has a disability</w:t>
      </w:r>
      <w:r w:rsidR="006C1B98" w:rsidRPr="00413148">
        <w:rPr>
          <w:szCs w:val="32"/>
        </w:rPr>
        <w:t>; (2)</w:t>
      </w:r>
      <w:r w:rsidRPr="00413148">
        <w:rPr>
          <w:szCs w:val="32"/>
        </w:rPr>
        <w:t xml:space="preserve"> identifies the functional limitation due to the disability</w:t>
      </w:r>
      <w:r w:rsidR="006C1B98" w:rsidRPr="00413148">
        <w:rPr>
          <w:szCs w:val="32"/>
        </w:rPr>
        <w:t>;</w:t>
      </w:r>
      <w:r w:rsidRPr="00413148">
        <w:rPr>
          <w:szCs w:val="32"/>
        </w:rPr>
        <w:t xml:space="preserve"> and </w:t>
      </w:r>
      <w:r w:rsidR="006C1B98" w:rsidRPr="00413148">
        <w:rPr>
          <w:szCs w:val="32"/>
        </w:rPr>
        <w:t xml:space="preserve">(3) </w:t>
      </w:r>
      <w:r w:rsidRPr="00413148">
        <w:rPr>
          <w:szCs w:val="32"/>
        </w:rPr>
        <w:t>explains how the requested accommodation will address the functional limitation identified.</w:t>
      </w:r>
      <w:r w:rsidRPr="00413148">
        <w:rPr>
          <w:rStyle w:val="FootnoteReference"/>
          <w:szCs w:val="32"/>
        </w:rPr>
        <w:footnoteReference w:id="88"/>
      </w:r>
      <w:r w:rsidRPr="00413148">
        <w:rPr>
          <w:szCs w:val="32"/>
        </w:rPr>
        <w:t xml:space="preserve"> Unless the exact diagnosis is necessary to determine what accommodation may be needed, a covered entity cannot require that the specific disability or diagnosis be disclosed and </w:t>
      </w:r>
      <w:r w:rsidR="389A4C08" w:rsidRPr="00413148">
        <w:rPr>
          <w:szCs w:val="32"/>
        </w:rPr>
        <w:t xml:space="preserve">is only permitted to </w:t>
      </w:r>
      <w:r w:rsidRPr="00413148">
        <w:rPr>
          <w:szCs w:val="32"/>
        </w:rPr>
        <w:t>request information or medical documentation related to the impairment and need at issue. A covered entity may not ask for unrelated documentation, such as complete medical records.</w:t>
      </w:r>
      <w:r w:rsidRPr="00413148">
        <w:rPr>
          <w:rStyle w:val="FootnoteReference"/>
          <w:szCs w:val="32"/>
        </w:rPr>
        <w:footnoteReference w:id="89"/>
      </w:r>
      <w:r w:rsidRPr="00413148">
        <w:rPr>
          <w:szCs w:val="32"/>
        </w:rPr>
        <w:t xml:space="preserve"> Any information or documentation shared must be kept confidential.</w:t>
      </w:r>
    </w:p>
    <w:p w14:paraId="14803B4E" w14:textId="77777777" w:rsidR="00042E4C" w:rsidRPr="00413148" w:rsidRDefault="00042E4C" w:rsidP="00064CAB">
      <w:pPr>
        <w:rPr>
          <w:szCs w:val="32"/>
        </w:rPr>
      </w:pPr>
    </w:p>
    <w:p w14:paraId="5AC0A9B1" w14:textId="04B99E8A" w:rsidR="00071034" w:rsidRPr="00413148" w:rsidRDefault="00042E4C" w:rsidP="00064CAB">
      <w:pPr>
        <w:rPr>
          <w:szCs w:val="32"/>
        </w:rPr>
      </w:pPr>
      <w:r w:rsidRPr="00413148">
        <w:rPr>
          <w:szCs w:val="32"/>
        </w:rPr>
        <w:t xml:space="preserve">In some circumstances where an individual’s disability and the need for the requested accommodation is readily apparent or otherwise known to the covered entity, making additional inquiries or asking for medical documentation about the requester’s disability or the </w:t>
      </w:r>
      <w:r w:rsidRPr="00413148">
        <w:rPr>
          <w:szCs w:val="32"/>
        </w:rPr>
        <w:lastRenderedPageBreak/>
        <w:t>disability-related need for the accommodation may constitute unlawful harassment.</w:t>
      </w:r>
      <w:r w:rsidRPr="00413148">
        <w:rPr>
          <w:rStyle w:val="FootnoteReference"/>
          <w:szCs w:val="32"/>
        </w:rPr>
        <w:footnoteReference w:id="90"/>
      </w:r>
      <w:r w:rsidR="00071034" w:rsidRPr="00413148">
        <w:rPr>
          <w:szCs w:val="32"/>
        </w:rPr>
        <w:t xml:space="preserve"> </w:t>
      </w:r>
    </w:p>
    <w:p w14:paraId="0EBF5E4F" w14:textId="77777777" w:rsidR="00E35BCF" w:rsidRPr="00413148" w:rsidRDefault="00E35BCF" w:rsidP="00064CAB">
      <w:pPr>
        <w:rPr>
          <w:szCs w:val="32"/>
        </w:rPr>
      </w:pPr>
    </w:p>
    <w:p w14:paraId="2C3AC644" w14:textId="77777777" w:rsidR="00042E4C" w:rsidRPr="00413148" w:rsidRDefault="30CF235B" w:rsidP="00064CAB">
      <w:pPr>
        <w:rPr>
          <w:szCs w:val="32"/>
        </w:rPr>
      </w:pPr>
      <w:r w:rsidRPr="00413148">
        <w:rPr>
          <w:szCs w:val="32"/>
        </w:rPr>
        <w:t xml:space="preserve">If the requester’s disability is known or readily apparent to the </w:t>
      </w:r>
      <w:r w:rsidR="44CDF3A9" w:rsidRPr="00413148">
        <w:rPr>
          <w:szCs w:val="32"/>
        </w:rPr>
        <w:t>covered entity</w:t>
      </w:r>
      <w:r w:rsidRPr="00413148">
        <w:rPr>
          <w:szCs w:val="32"/>
        </w:rPr>
        <w:t xml:space="preserve">, but the need for the accommodation is not readily apparent or known, the </w:t>
      </w:r>
      <w:r w:rsidR="4DEFD67D" w:rsidRPr="00413148">
        <w:rPr>
          <w:szCs w:val="32"/>
        </w:rPr>
        <w:t>entity</w:t>
      </w:r>
      <w:r w:rsidRPr="00413148">
        <w:rPr>
          <w:szCs w:val="32"/>
        </w:rPr>
        <w:t xml:space="preserve"> </w:t>
      </w:r>
      <w:r w:rsidR="2BF8D5BB" w:rsidRPr="00413148">
        <w:rPr>
          <w:szCs w:val="32"/>
        </w:rPr>
        <w:t xml:space="preserve">is </w:t>
      </w:r>
      <w:r w:rsidR="79DAB4AC" w:rsidRPr="00413148">
        <w:rPr>
          <w:szCs w:val="32"/>
        </w:rPr>
        <w:t xml:space="preserve">only </w:t>
      </w:r>
      <w:r w:rsidR="2BF8D5BB" w:rsidRPr="00413148">
        <w:rPr>
          <w:szCs w:val="32"/>
        </w:rPr>
        <w:t xml:space="preserve">permitted </w:t>
      </w:r>
      <w:r w:rsidR="5BA2AD73" w:rsidRPr="00413148">
        <w:rPr>
          <w:szCs w:val="32"/>
        </w:rPr>
        <w:t xml:space="preserve">to </w:t>
      </w:r>
      <w:r w:rsidRPr="00413148">
        <w:rPr>
          <w:szCs w:val="32"/>
        </w:rPr>
        <w:t xml:space="preserve">request information that is necessary to evaluate how the accommodation would ameliorate the </w:t>
      </w:r>
      <w:r w:rsidR="0B5B6ABD" w:rsidRPr="00413148">
        <w:rPr>
          <w:szCs w:val="32"/>
        </w:rPr>
        <w:t xml:space="preserve">impacts </w:t>
      </w:r>
      <w:r w:rsidRPr="00413148">
        <w:rPr>
          <w:szCs w:val="32"/>
        </w:rPr>
        <w:t>of the person’s disability</w:t>
      </w:r>
      <w:r w:rsidR="0B5B6ABD" w:rsidRPr="00413148">
        <w:rPr>
          <w:szCs w:val="32"/>
        </w:rPr>
        <w:t xml:space="preserve"> on their ability to perform essential job </w:t>
      </w:r>
      <w:r w:rsidR="477528C8" w:rsidRPr="00413148">
        <w:rPr>
          <w:szCs w:val="32"/>
        </w:rPr>
        <w:t xml:space="preserve">duties </w:t>
      </w:r>
      <w:r w:rsidR="0B5B6ABD" w:rsidRPr="00413148">
        <w:rPr>
          <w:szCs w:val="32"/>
        </w:rPr>
        <w:t>or enjoy the rights in question</w:t>
      </w:r>
      <w:r w:rsidRPr="00413148">
        <w:rPr>
          <w:szCs w:val="32"/>
        </w:rPr>
        <w:t>.</w:t>
      </w:r>
      <w:r w:rsidR="00042E4C" w:rsidRPr="00413148">
        <w:rPr>
          <w:rStyle w:val="FootnoteReference"/>
          <w:szCs w:val="32"/>
        </w:rPr>
        <w:footnoteReference w:id="91"/>
      </w:r>
    </w:p>
    <w:p w14:paraId="65D4E5CF" w14:textId="77777777" w:rsidR="00042E4C" w:rsidRPr="00413148" w:rsidRDefault="00042E4C" w:rsidP="00064CAB">
      <w:pPr>
        <w:rPr>
          <w:szCs w:val="32"/>
        </w:rPr>
      </w:pPr>
    </w:p>
    <w:p w14:paraId="33811E80" w14:textId="38FCEDF3" w:rsidR="00042E4C" w:rsidRDefault="00042E4C" w:rsidP="00064CAB">
      <w:pPr>
        <w:rPr>
          <w:szCs w:val="32"/>
        </w:rPr>
      </w:pPr>
      <w:r w:rsidRPr="00413148">
        <w:rPr>
          <w:szCs w:val="32"/>
        </w:rPr>
        <w:t xml:space="preserve">While covered entities may require medical documentation to support a request for an accommodation, they cannot require a specific </w:t>
      </w:r>
      <w:r w:rsidRPr="00413148">
        <w:rPr>
          <w:i/>
          <w:iCs/>
          <w:szCs w:val="32"/>
        </w:rPr>
        <w:t xml:space="preserve">type </w:t>
      </w:r>
      <w:r w:rsidRPr="00413148">
        <w:rPr>
          <w:szCs w:val="32"/>
        </w:rPr>
        <w:t xml:space="preserve">or </w:t>
      </w:r>
      <w:r w:rsidRPr="00413148">
        <w:rPr>
          <w:i/>
          <w:iCs/>
          <w:szCs w:val="32"/>
        </w:rPr>
        <w:t>form</w:t>
      </w:r>
      <w:r w:rsidRPr="00413148">
        <w:rPr>
          <w:szCs w:val="32"/>
        </w:rPr>
        <w:t xml:space="preserve"> of documentation. Medical documentation should be considered broadly. Covered entities should focus on the content of the medical documentation and not its form. If a covered entity has reason to believe that the provided documentation is insufficient, it should not reject the accommodation request, but should instead request additional documentation or, upon the consent of the individual, speak with the health care provider who provided the documentation before denying the request for this reason. A covered entity must allow an individual to submit sufficient supplemental written verification should an individual not want the covered entity speaking with their </w:t>
      </w:r>
      <w:r w:rsidR="004E1CE9" w:rsidRPr="00413148">
        <w:rPr>
          <w:szCs w:val="32"/>
        </w:rPr>
        <w:t xml:space="preserve">health </w:t>
      </w:r>
      <w:r w:rsidR="00AD598D" w:rsidRPr="00413148">
        <w:rPr>
          <w:szCs w:val="32"/>
        </w:rPr>
        <w:t>professional</w:t>
      </w:r>
      <w:r w:rsidRPr="00413148">
        <w:rPr>
          <w:szCs w:val="32"/>
        </w:rPr>
        <w:t>.</w:t>
      </w:r>
      <w:r w:rsidR="00964E95" w:rsidRPr="00413148">
        <w:rPr>
          <w:rStyle w:val="FootnoteReference"/>
          <w:szCs w:val="32"/>
        </w:rPr>
        <w:footnoteReference w:id="92"/>
      </w:r>
    </w:p>
    <w:p w14:paraId="54037CA4" w14:textId="77777777" w:rsidR="00493F90" w:rsidRDefault="00493F90" w:rsidP="00064CAB">
      <w:pPr>
        <w:rPr>
          <w:szCs w:val="32"/>
        </w:rPr>
      </w:pPr>
    </w:p>
    <w:p w14:paraId="14372385" w14:textId="77777777" w:rsidR="00493F90" w:rsidRPr="00413148" w:rsidRDefault="00493F90" w:rsidP="00064CAB">
      <w:pPr>
        <w:rPr>
          <w:szCs w:val="32"/>
        </w:rPr>
      </w:pPr>
    </w:p>
    <w:p w14:paraId="7B7BE857" w14:textId="77777777" w:rsidR="00042E4C" w:rsidRPr="00413148" w:rsidRDefault="00042E4C" w:rsidP="00064CAB">
      <w:pPr>
        <w:rPr>
          <w:szCs w:val="32"/>
        </w:rPr>
      </w:pPr>
    </w:p>
    <w:p w14:paraId="5B8D5B9F" w14:textId="77777777" w:rsidR="00042E4C" w:rsidRPr="00413148" w:rsidRDefault="00042E4C" w:rsidP="00113630">
      <w:pPr>
        <w:pStyle w:val="Heading4"/>
        <w:numPr>
          <w:ilvl w:val="0"/>
          <w:numId w:val="24"/>
        </w:numPr>
        <w:spacing w:before="0" w:after="0"/>
        <w:ind w:left="1440" w:hanging="540"/>
        <w:rPr>
          <w:rFonts w:cs="Arial"/>
          <w:b/>
          <w:bCs/>
          <w:color w:val="4B0082"/>
          <w:szCs w:val="32"/>
        </w:rPr>
      </w:pPr>
      <w:r w:rsidRPr="00413148">
        <w:rPr>
          <w:rFonts w:cs="Arial"/>
          <w:b/>
          <w:bCs/>
          <w:color w:val="4B0082"/>
          <w:szCs w:val="32"/>
        </w:rPr>
        <w:lastRenderedPageBreak/>
        <w:t xml:space="preserve">Failure to Engage in </w:t>
      </w:r>
      <w:r w:rsidR="00ED1272" w:rsidRPr="00413148">
        <w:rPr>
          <w:rFonts w:cs="Arial"/>
          <w:b/>
          <w:bCs/>
          <w:color w:val="4B0082"/>
          <w:szCs w:val="32"/>
        </w:rPr>
        <w:t>a</w:t>
      </w:r>
      <w:r w:rsidRPr="00413148">
        <w:rPr>
          <w:rFonts w:cs="Arial"/>
          <w:b/>
          <w:bCs/>
          <w:color w:val="4B0082"/>
          <w:szCs w:val="32"/>
        </w:rPr>
        <w:t xml:space="preserve"> Cooperative Dialogue</w:t>
      </w:r>
    </w:p>
    <w:p w14:paraId="5900D314" w14:textId="77777777" w:rsidR="2BF936FA" w:rsidRPr="00413148" w:rsidRDefault="2BF936FA" w:rsidP="00064CAB">
      <w:pPr>
        <w:rPr>
          <w:szCs w:val="32"/>
        </w:rPr>
      </w:pPr>
    </w:p>
    <w:p w14:paraId="0FAE8AD3" w14:textId="77777777" w:rsidR="001655AC" w:rsidRPr="00413148" w:rsidRDefault="00042E4C" w:rsidP="00064CAB">
      <w:pPr>
        <w:rPr>
          <w:szCs w:val="32"/>
        </w:rPr>
      </w:pPr>
      <w:r w:rsidRPr="00413148">
        <w:rPr>
          <w:szCs w:val="32"/>
        </w:rPr>
        <w:t>A covered entity’s failure to engage in a cooperative dialogue with an individual requesting an accommodation is an independent violation of the NYCHRL.</w:t>
      </w:r>
      <w:r w:rsidRPr="00413148">
        <w:rPr>
          <w:rStyle w:val="FootnoteReference"/>
          <w:szCs w:val="32"/>
        </w:rPr>
        <w:footnoteReference w:id="93"/>
      </w:r>
      <w:r w:rsidRPr="00413148">
        <w:rPr>
          <w:szCs w:val="32"/>
        </w:rPr>
        <w:t xml:space="preserve"> Without engaging in a cooperative dialogue, a covered entity will be unable to completely assess the individual needs of the person requesting an accommodation.</w:t>
      </w:r>
      <w:r w:rsidR="00E37616" w:rsidRPr="00413148">
        <w:rPr>
          <w:rFonts w:eastAsia="Times New Roman"/>
          <w:szCs w:val="32"/>
        </w:rPr>
        <w:t xml:space="preserve"> Failure to engage in a cooperative dialogue can occur if a covered </w:t>
      </w:r>
      <w:proofErr w:type="gramStart"/>
      <w:r w:rsidR="00E37616" w:rsidRPr="00413148">
        <w:rPr>
          <w:rFonts w:eastAsia="Times New Roman"/>
          <w:szCs w:val="32"/>
        </w:rPr>
        <w:t>entity:</w:t>
      </w:r>
      <w:proofErr w:type="gramEnd"/>
      <w:r w:rsidR="00E37616" w:rsidRPr="00413148">
        <w:rPr>
          <w:rFonts w:eastAsia="Times New Roman"/>
          <w:szCs w:val="32"/>
        </w:rPr>
        <w:t xml:space="preserve"> never responds to an individual’s request for </w:t>
      </w:r>
      <w:proofErr w:type="gramStart"/>
      <w:r w:rsidR="00E37616" w:rsidRPr="00413148">
        <w:rPr>
          <w:rFonts w:eastAsia="Times New Roman"/>
          <w:szCs w:val="32"/>
        </w:rPr>
        <w:t>an accommodation</w:t>
      </w:r>
      <w:proofErr w:type="gramEnd"/>
      <w:r w:rsidR="00E37616" w:rsidRPr="00413148">
        <w:rPr>
          <w:rFonts w:eastAsia="Times New Roman"/>
          <w:szCs w:val="32"/>
        </w:rPr>
        <w:t xml:space="preserve">; creates an undue delay in </w:t>
      </w:r>
      <w:r w:rsidR="00E37616" w:rsidRPr="00413148">
        <w:rPr>
          <w:szCs w:val="32"/>
        </w:rPr>
        <w:t>responding to a request; or does not initiate a dialogue when a covered entity knows or should have known about a</w:t>
      </w:r>
      <w:r w:rsidR="00853A4C" w:rsidRPr="00413148">
        <w:rPr>
          <w:szCs w:val="32"/>
        </w:rPr>
        <w:t xml:space="preserve"> </w:t>
      </w:r>
      <w:r w:rsidR="00E37616" w:rsidRPr="00413148">
        <w:rPr>
          <w:szCs w:val="32"/>
        </w:rPr>
        <w:t xml:space="preserve">person’s need for </w:t>
      </w:r>
      <w:proofErr w:type="gramStart"/>
      <w:r w:rsidR="00E37616" w:rsidRPr="00413148">
        <w:rPr>
          <w:szCs w:val="32"/>
        </w:rPr>
        <w:t>an accommodation</w:t>
      </w:r>
      <w:proofErr w:type="gramEnd"/>
      <w:r w:rsidR="00192D0B" w:rsidRPr="00413148">
        <w:rPr>
          <w:szCs w:val="32"/>
        </w:rPr>
        <w:t>.</w:t>
      </w:r>
      <w:r w:rsidR="00E37616" w:rsidRPr="00413148">
        <w:rPr>
          <w:szCs w:val="32"/>
        </w:rPr>
        <w:t xml:space="preserve"> </w:t>
      </w:r>
    </w:p>
    <w:p w14:paraId="36106AFD" w14:textId="77777777" w:rsidR="001671B7" w:rsidRPr="00413148" w:rsidRDefault="001671B7" w:rsidP="009D44BB">
      <w:pPr>
        <w:rPr>
          <w:szCs w:val="32"/>
        </w:rPr>
      </w:pPr>
    </w:p>
    <w:p w14:paraId="2EE53770" w14:textId="77777777" w:rsidR="001671B7" w:rsidRPr="00413148" w:rsidRDefault="001671B7" w:rsidP="00493F90">
      <w:pPr>
        <w:pStyle w:val="Heading3"/>
        <w:numPr>
          <w:ilvl w:val="0"/>
          <w:numId w:val="58"/>
        </w:numPr>
        <w:spacing w:before="0" w:after="0"/>
        <w:rPr>
          <w:rFonts w:cs="Arial"/>
          <w:b/>
          <w:bCs/>
          <w:color w:val="4B0082"/>
          <w:sz w:val="32"/>
          <w:szCs w:val="32"/>
        </w:rPr>
      </w:pPr>
      <w:bookmarkStart w:id="26" w:name="_Toc218083746"/>
      <w:r w:rsidRPr="00413148">
        <w:rPr>
          <w:rFonts w:cs="Arial"/>
          <w:b/>
          <w:bCs/>
          <w:color w:val="4B0082"/>
          <w:sz w:val="32"/>
          <w:szCs w:val="32"/>
        </w:rPr>
        <w:t>Defenses to Reasonable Accommodations Claims</w:t>
      </w:r>
      <w:bookmarkEnd w:id="26"/>
    </w:p>
    <w:p w14:paraId="69F972FE" w14:textId="77777777" w:rsidR="00E224FA" w:rsidRPr="00413148" w:rsidRDefault="00E224FA" w:rsidP="00064CAB">
      <w:pPr>
        <w:rPr>
          <w:szCs w:val="32"/>
        </w:rPr>
      </w:pPr>
    </w:p>
    <w:p w14:paraId="2A8CA120" w14:textId="77777777" w:rsidR="001671B7" w:rsidRPr="00413148" w:rsidRDefault="001671B7" w:rsidP="00064CAB">
      <w:pPr>
        <w:rPr>
          <w:szCs w:val="32"/>
        </w:rPr>
      </w:pPr>
      <w:r w:rsidRPr="00413148">
        <w:rPr>
          <w:szCs w:val="32"/>
        </w:rPr>
        <w:t xml:space="preserve">Potential defenses to claims of unlawful discrimination do not automatically prevent a complaint from being filed or limit the </w:t>
      </w:r>
      <w:r w:rsidR="00911780" w:rsidRPr="00413148">
        <w:rPr>
          <w:szCs w:val="32"/>
        </w:rPr>
        <w:t xml:space="preserve">ability of the Commission’s </w:t>
      </w:r>
      <w:r w:rsidRPr="00413148">
        <w:rPr>
          <w:szCs w:val="32"/>
        </w:rPr>
        <w:t>Law Enforcement Bureau</w:t>
      </w:r>
      <w:r w:rsidR="00911780" w:rsidRPr="00413148">
        <w:rPr>
          <w:szCs w:val="32"/>
        </w:rPr>
        <w:t xml:space="preserve"> (“Bureau”)</w:t>
      </w:r>
      <w:r w:rsidRPr="00413148">
        <w:rPr>
          <w:szCs w:val="32"/>
        </w:rPr>
        <w:t xml:space="preserve"> to </w:t>
      </w:r>
      <w:proofErr w:type="gramStart"/>
      <w:r w:rsidRPr="00413148">
        <w:rPr>
          <w:szCs w:val="32"/>
        </w:rPr>
        <w:t>conduct an investigation</w:t>
      </w:r>
      <w:proofErr w:type="gramEnd"/>
      <w:r w:rsidRPr="00413148">
        <w:rPr>
          <w:szCs w:val="32"/>
        </w:rPr>
        <w:t xml:space="preserve"> regarding alleg</w:t>
      </w:r>
      <w:r w:rsidR="017F08BA" w:rsidRPr="00413148">
        <w:rPr>
          <w:szCs w:val="32"/>
        </w:rPr>
        <w:t>ed</w:t>
      </w:r>
      <w:r w:rsidRPr="00413148">
        <w:rPr>
          <w:szCs w:val="32"/>
        </w:rPr>
        <w:t xml:space="preserve"> </w:t>
      </w:r>
      <w:r w:rsidR="12BAB2DB" w:rsidRPr="00413148">
        <w:rPr>
          <w:szCs w:val="32"/>
        </w:rPr>
        <w:t>violations in absence of a complaint</w:t>
      </w:r>
      <w:r w:rsidRPr="00413148">
        <w:rPr>
          <w:szCs w:val="32"/>
        </w:rPr>
        <w:t xml:space="preserve">. When a Respondent raises one or more defenses in </w:t>
      </w:r>
      <w:r w:rsidR="00C76514" w:rsidRPr="00413148">
        <w:rPr>
          <w:szCs w:val="32"/>
        </w:rPr>
        <w:t xml:space="preserve">its </w:t>
      </w:r>
      <w:r w:rsidRPr="00413148">
        <w:rPr>
          <w:szCs w:val="32"/>
        </w:rPr>
        <w:t>Answer, the Respondent should provide sufficient evidence to substantiate the basis for each defense.</w:t>
      </w:r>
    </w:p>
    <w:p w14:paraId="700E0F81" w14:textId="77777777" w:rsidR="001671B7" w:rsidRPr="00413148" w:rsidRDefault="001671B7" w:rsidP="00064CAB">
      <w:pPr>
        <w:rPr>
          <w:szCs w:val="32"/>
        </w:rPr>
      </w:pPr>
    </w:p>
    <w:p w14:paraId="6675C19F" w14:textId="691B5EBF" w:rsidR="001671B7" w:rsidRPr="00413148" w:rsidRDefault="700612D6" w:rsidP="00064CAB">
      <w:pPr>
        <w:rPr>
          <w:szCs w:val="32"/>
        </w:rPr>
      </w:pPr>
      <w:r w:rsidRPr="00413148">
        <w:rPr>
          <w:szCs w:val="32"/>
        </w:rPr>
        <w:t xml:space="preserve">If a covered entity fails to provide an accommodation, the entity may assert, as a defense, that there is no accommodation available that will meet the needs of the individual requesting an accommodation that does not pose an undue hardship or, in the employment context, that would allow the employee to perform the essential </w:t>
      </w:r>
      <w:r w:rsidR="7665CBBC" w:rsidRPr="00413148">
        <w:rPr>
          <w:szCs w:val="32"/>
        </w:rPr>
        <w:t xml:space="preserve">requisites </w:t>
      </w:r>
      <w:r w:rsidRPr="00413148">
        <w:rPr>
          <w:szCs w:val="32"/>
        </w:rPr>
        <w:t xml:space="preserve">of </w:t>
      </w:r>
      <w:r w:rsidRPr="00413148">
        <w:rPr>
          <w:szCs w:val="32"/>
        </w:rPr>
        <w:lastRenderedPageBreak/>
        <w:t>the job.</w:t>
      </w:r>
      <w:r w:rsidR="001671B7" w:rsidRPr="00413148">
        <w:rPr>
          <w:rStyle w:val="FootnoteReference"/>
          <w:szCs w:val="32"/>
        </w:rPr>
        <w:footnoteReference w:id="94"/>
      </w:r>
      <w:r w:rsidRPr="00413148">
        <w:rPr>
          <w:szCs w:val="32"/>
        </w:rPr>
        <w:t xml:space="preserve"> Engaging in a cooperative dialogue is not a defense to a claim of failure to</w:t>
      </w:r>
      <w:r w:rsidRPr="00413148" w:rsidDel="55B6188E">
        <w:rPr>
          <w:szCs w:val="32"/>
        </w:rPr>
        <w:t xml:space="preserve"> provide a </w:t>
      </w:r>
      <w:r w:rsidRPr="00413148">
        <w:rPr>
          <w:szCs w:val="32"/>
        </w:rPr>
        <w:t>reasonable accommodation.</w:t>
      </w:r>
      <w:r w:rsidR="001671B7" w:rsidRPr="00413148">
        <w:rPr>
          <w:rStyle w:val="FootnoteReference"/>
          <w:szCs w:val="32"/>
        </w:rPr>
        <w:footnoteReference w:id="95"/>
      </w:r>
    </w:p>
    <w:p w14:paraId="4E91D10B" w14:textId="77777777" w:rsidR="001671B7" w:rsidRPr="00413148" w:rsidRDefault="001671B7" w:rsidP="00064CAB">
      <w:pPr>
        <w:rPr>
          <w:szCs w:val="32"/>
        </w:rPr>
      </w:pPr>
    </w:p>
    <w:p w14:paraId="4B0D7C7F" w14:textId="77777777" w:rsidR="001671B7" w:rsidRPr="00413148" w:rsidRDefault="001671B7" w:rsidP="00064CAB">
      <w:pPr>
        <w:rPr>
          <w:szCs w:val="32"/>
        </w:rPr>
      </w:pPr>
      <w:r w:rsidRPr="00413148">
        <w:rPr>
          <w:szCs w:val="32"/>
        </w:rPr>
        <w:t>All accommodations are presumed reasonable unless the covered entity shows that they pose an undue hardship. Where a covered entity believes the initial accommodation requested by an individual would cause an undue hardship, the covered entity is required to propose one or more alternatives that would not cause an undue hardship, if such alternative(s) exist(s).</w:t>
      </w:r>
      <w:r w:rsidRPr="00413148">
        <w:rPr>
          <w:rStyle w:val="FootnoteReference"/>
          <w:szCs w:val="32"/>
        </w:rPr>
        <w:footnoteReference w:id="96"/>
      </w:r>
      <w:r w:rsidRPr="00413148">
        <w:rPr>
          <w:szCs w:val="32"/>
        </w:rPr>
        <w:t xml:space="preserve"> The covered entity has the burden to prove undue hardship by showing the unavailability of a reasonable accommodation.</w:t>
      </w:r>
      <w:r w:rsidRPr="00413148">
        <w:rPr>
          <w:rStyle w:val="FootnoteReference"/>
          <w:szCs w:val="32"/>
        </w:rPr>
        <w:footnoteReference w:id="97"/>
      </w:r>
      <w:r w:rsidRPr="00413148">
        <w:rPr>
          <w:szCs w:val="32"/>
        </w:rPr>
        <w:t xml:space="preserve"> Evidence of undue hardship is assessed by a preponderance of the evidence standard.</w:t>
      </w:r>
      <w:r w:rsidRPr="00413148">
        <w:rPr>
          <w:rStyle w:val="FootnoteReference"/>
          <w:szCs w:val="32"/>
        </w:rPr>
        <w:footnoteReference w:id="98"/>
      </w:r>
      <w:r w:rsidRPr="00413148">
        <w:rPr>
          <w:szCs w:val="32"/>
        </w:rPr>
        <w:t xml:space="preserve"> </w:t>
      </w:r>
    </w:p>
    <w:p w14:paraId="5F6DE462" w14:textId="77777777" w:rsidR="001671B7" w:rsidRPr="00413148" w:rsidRDefault="001671B7" w:rsidP="00064CAB">
      <w:pPr>
        <w:rPr>
          <w:szCs w:val="32"/>
        </w:rPr>
      </w:pPr>
    </w:p>
    <w:p w14:paraId="15DF720C" w14:textId="77777777" w:rsidR="001671B7" w:rsidRPr="00413148" w:rsidRDefault="001671B7" w:rsidP="00064CAB">
      <w:pPr>
        <w:rPr>
          <w:szCs w:val="32"/>
        </w:rPr>
      </w:pPr>
      <w:r w:rsidRPr="00413148">
        <w:rPr>
          <w:szCs w:val="32"/>
        </w:rPr>
        <w:t xml:space="preserve">There is no </w:t>
      </w:r>
      <w:proofErr w:type="gramStart"/>
      <w:r w:rsidRPr="00413148">
        <w:rPr>
          <w:szCs w:val="32"/>
        </w:rPr>
        <w:t>accommodation—</w:t>
      </w:r>
      <w:proofErr w:type="gramEnd"/>
      <w:r w:rsidRPr="00413148">
        <w:rPr>
          <w:szCs w:val="32"/>
        </w:rPr>
        <w:t xml:space="preserve">whether indefinite leave or any other need created by a disability—that is categorically excluded from the universe of potentially reasonable </w:t>
      </w:r>
      <w:proofErr w:type="gramStart"/>
      <w:r w:rsidRPr="00413148">
        <w:rPr>
          <w:szCs w:val="32"/>
        </w:rPr>
        <w:t>accommodations</w:t>
      </w:r>
      <w:proofErr w:type="gramEnd"/>
      <w:r w:rsidRPr="00413148">
        <w:rPr>
          <w:szCs w:val="32"/>
        </w:rPr>
        <w:t xml:space="preserve"> under the </w:t>
      </w:r>
      <w:r w:rsidRPr="00413148">
        <w:rPr>
          <w:szCs w:val="32"/>
        </w:rPr>
        <w:lastRenderedPageBreak/>
        <w:t xml:space="preserve">NYCHRL because a covered entity must assess on a case-by-case basis whether a particular accommodation would cause </w:t>
      </w:r>
      <w:proofErr w:type="gramStart"/>
      <w:r w:rsidR="64B06C12" w:rsidRPr="00413148">
        <w:rPr>
          <w:szCs w:val="32"/>
        </w:rPr>
        <w:t xml:space="preserve">an </w:t>
      </w:r>
      <w:r w:rsidRPr="00413148">
        <w:rPr>
          <w:szCs w:val="32"/>
        </w:rPr>
        <w:t>undue</w:t>
      </w:r>
      <w:proofErr w:type="gramEnd"/>
      <w:r w:rsidRPr="00413148">
        <w:rPr>
          <w:szCs w:val="32"/>
        </w:rPr>
        <w:t xml:space="preserve"> hardship </w:t>
      </w:r>
      <w:proofErr w:type="gramStart"/>
      <w:r w:rsidRPr="00413148">
        <w:rPr>
          <w:szCs w:val="32"/>
        </w:rPr>
        <w:t>in light of</w:t>
      </w:r>
      <w:proofErr w:type="gramEnd"/>
      <w:r w:rsidRPr="00413148">
        <w:rPr>
          <w:szCs w:val="32"/>
        </w:rPr>
        <w:t xml:space="preserve"> the specific needs and circumstances surrounding each request.</w:t>
      </w:r>
      <w:r w:rsidRPr="00413148">
        <w:rPr>
          <w:rStyle w:val="FootnoteReference"/>
          <w:szCs w:val="32"/>
        </w:rPr>
        <w:footnoteReference w:id="99"/>
      </w:r>
    </w:p>
    <w:p w14:paraId="38270629" w14:textId="77777777" w:rsidR="00BE4509" w:rsidRPr="00413148" w:rsidRDefault="00BE4509" w:rsidP="00064CAB">
      <w:pPr>
        <w:rPr>
          <w:szCs w:val="32"/>
        </w:rPr>
      </w:pPr>
    </w:p>
    <w:p w14:paraId="4C241787" w14:textId="6491A99C" w:rsidR="001655AC" w:rsidRPr="00413148" w:rsidRDefault="001655AC" w:rsidP="00064CAB">
      <w:pPr>
        <w:pStyle w:val="Heading1"/>
        <w:spacing w:before="0" w:after="0"/>
        <w:rPr>
          <w:rFonts w:ascii="Arial" w:hAnsi="Arial" w:cs="Arial"/>
          <w:b/>
          <w:bCs/>
          <w:color w:val="4B0082"/>
          <w:sz w:val="44"/>
          <w:szCs w:val="44"/>
          <w:highlight w:val="green"/>
        </w:rPr>
      </w:pPr>
      <w:bookmarkStart w:id="27" w:name="_Toc218083747"/>
      <w:r w:rsidRPr="00413148">
        <w:rPr>
          <w:rFonts w:ascii="Arial" w:hAnsi="Arial" w:cs="Arial"/>
          <w:b/>
          <w:bCs/>
          <w:color w:val="4B0082"/>
          <w:sz w:val="44"/>
          <w:szCs w:val="44"/>
        </w:rPr>
        <w:t>PART II</w:t>
      </w:r>
      <w:r w:rsidR="00790FFB" w:rsidRPr="00413148">
        <w:rPr>
          <w:rFonts w:ascii="Arial" w:hAnsi="Arial" w:cs="Arial"/>
          <w:b/>
          <w:bCs/>
          <w:color w:val="4B0082"/>
          <w:sz w:val="44"/>
          <w:szCs w:val="44"/>
        </w:rPr>
        <w:t>:</w:t>
      </w:r>
      <w:r w:rsidR="00790FFB" w:rsidRPr="00413148">
        <w:rPr>
          <w:rFonts w:ascii="Arial" w:hAnsi="Arial" w:cs="Arial"/>
          <w:b/>
          <w:bCs/>
          <w:color w:val="4B0082"/>
          <w:sz w:val="48"/>
          <w:szCs w:val="48"/>
        </w:rPr>
        <w:t xml:space="preserve"> </w:t>
      </w:r>
      <w:r w:rsidR="00790FFB" w:rsidRPr="00413148">
        <w:rPr>
          <w:rFonts w:ascii="Arial" w:hAnsi="Arial" w:cs="Arial"/>
          <w:b/>
          <w:bCs/>
          <w:color w:val="4B0082"/>
          <w:sz w:val="44"/>
          <w:szCs w:val="44"/>
        </w:rPr>
        <w:t>NYCHRL Disa</w:t>
      </w:r>
      <w:r w:rsidR="0076767C" w:rsidRPr="00413148">
        <w:rPr>
          <w:rFonts w:ascii="Arial" w:hAnsi="Arial" w:cs="Arial"/>
          <w:b/>
          <w:bCs/>
          <w:color w:val="4B0082"/>
          <w:sz w:val="44"/>
          <w:szCs w:val="44"/>
        </w:rPr>
        <w:t xml:space="preserve">bility Protections </w:t>
      </w:r>
      <w:r w:rsidR="001F2F28" w:rsidRPr="00413148">
        <w:rPr>
          <w:rFonts w:ascii="Arial" w:hAnsi="Arial" w:cs="Arial"/>
          <w:b/>
          <w:bCs/>
          <w:color w:val="4B0082"/>
          <w:sz w:val="44"/>
          <w:szCs w:val="44"/>
        </w:rPr>
        <w:t>in Employment, Public Accommodations, and Housing</w:t>
      </w:r>
      <w:bookmarkEnd w:id="27"/>
    </w:p>
    <w:p w14:paraId="4B0039D5" w14:textId="77777777" w:rsidR="00064CAB" w:rsidRPr="00413148" w:rsidRDefault="00064CAB" w:rsidP="00064CAB">
      <w:pPr>
        <w:pStyle w:val="Heading2"/>
        <w:spacing w:before="0" w:after="0"/>
        <w:rPr>
          <w:rFonts w:ascii="Arial" w:hAnsi="Arial" w:cs="Arial"/>
          <w:b/>
          <w:bCs/>
          <w:color w:val="4B0082"/>
        </w:rPr>
      </w:pPr>
    </w:p>
    <w:p w14:paraId="1FA77E92" w14:textId="2723B24F" w:rsidR="00C44D63" w:rsidRPr="00413148" w:rsidRDefault="008A5B35" w:rsidP="00113630">
      <w:pPr>
        <w:pStyle w:val="Heading2"/>
        <w:numPr>
          <w:ilvl w:val="0"/>
          <w:numId w:val="44"/>
        </w:numPr>
        <w:spacing w:before="0" w:after="0"/>
        <w:ind w:left="360"/>
        <w:rPr>
          <w:rFonts w:ascii="Arial" w:hAnsi="Arial" w:cs="Arial"/>
          <w:b/>
          <w:bCs/>
          <w:color w:val="4B0082"/>
          <w:sz w:val="36"/>
          <w:szCs w:val="36"/>
        </w:rPr>
      </w:pPr>
      <w:r w:rsidRPr="00413148">
        <w:rPr>
          <w:rFonts w:ascii="Arial" w:hAnsi="Arial" w:cs="Arial"/>
          <w:b/>
          <w:bCs/>
          <w:color w:val="4B0082"/>
          <w:sz w:val="40"/>
          <w:szCs w:val="40"/>
        </w:rPr>
        <w:t xml:space="preserve"> </w:t>
      </w:r>
      <w:bookmarkStart w:id="28" w:name="_Toc218083748"/>
      <w:r w:rsidR="00C44D63" w:rsidRPr="00413148">
        <w:rPr>
          <w:rFonts w:ascii="Arial" w:hAnsi="Arial" w:cs="Arial"/>
          <w:b/>
          <w:bCs/>
          <w:color w:val="4B0082"/>
          <w:sz w:val="40"/>
          <w:szCs w:val="40"/>
        </w:rPr>
        <w:t>Disability Protections in Employment</w:t>
      </w:r>
      <w:bookmarkEnd w:id="28"/>
    </w:p>
    <w:p w14:paraId="77AF696C" w14:textId="77777777" w:rsidR="00C44D63" w:rsidRPr="00413148" w:rsidRDefault="00C44D63" w:rsidP="00064CAB"/>
    <w:p w14:paraId="1F6C51E4" w14:textId="4538AD54" w:rsidR="00C44D63" w:rsidRPr="00413148" w:rsidRDefault="00C44D63" w:rsidP="00064CAB">
      <w:r w:rsidRPr="00413148">
        <w:t>It is unlawful to fire or refuse to hire or promote an individual or to discriminate in the terms and conditions of employment because of an employee’s actual or perceived disability.</w:t>
      </w:r>
      <w:r w:rsidRPr="00413148">
        <w:rPr>
          <w:rStyle w:val="FootnoteReference"/>
        </w:rPr>
        <w:footnoteReference w:id="100"/>
      </w:r>
      <w:r w:rsidRPr="00413148">
        <w:t xml:space="preserve"> </w:t>
      </w:r>
      <w:r w:rsidR="008A7141" w:rsidRPr="00413148">
        <w:t>T</w:t>
      </w:r>
      <w:r w:rsidRPr="00413148">
        <w:t>erms and conditions of employment include, but are not limited to</w:t>
      </w:r>
      <w:r w:rsidR="003D09A6" w:rsidRPr="00413148">
        <w:t>,</w:t>
      </w:r>
      <w:r w:rsidRPr="00413148">
        <w:t xml:space="preserve"> salary</w:t>
      </w:r>
      <w:r w:rsidR="00ED42A6" w:rsidRPr="00413148">
        <w:t>,</w:t>
      </w:r>
      <w:r w:rsidRPr="00413148">
        <w:t xml:space="preserve"> work assignments</w:t>
      </w:r>
      <w:r w:rsidR="00560F9B" w:rsidRPr="00413148">
        <w:t>,</w:t>
      </w:r>
      <w:r w:rsidRPr="00413148">
        <w:t xml:space="preserve"> employee benefits</w:t>
      </w:r>
      <w:r w:rsidR="00560F9B" w:rsidRPr="00413148">
        <w:t>,</w:t>
      </w:r>
      <w:r w:rsidRPr="00413148">
        <w:t xml:space="preserve"> and keeping the workplace free from harassment.</w:t>
      </w:r>
    </w:p>
    <w:p w14:paraId="198E62D6" w14:textId="77777777" w:rsidR="00042E4C" w:rsidRPr="00413148" w:rsidRDefault="00042E4C" w:rsidP="00064CAB"/>
    <w:p w14:paraId="06725867" w14:textId="77777777" w:rsidR="00823C08" w:rsidRPr="00413148" w:rsidRDefault="00AA27E3" w:rsidP="00064CAB">
      <w:pPr>
        <w:rPr>
          <w:highlight w:val="green"/>
        </w:rPr>
      </w:pPr>
      <w:r w:rsidRPr="00413148">
        <w:t>E</w:t>
      </w:r>
      <w:r w:rsidR="000D4E2E" w:rsidRPr="00413148">
        <w:t>ntities</w:t>
      </w:r>
      <w:r w:rsidR="4AD8614B" w:rsidRPr="00413148">
        <w:t xml:space="preserve"> that must comply with the </w:t>
      </w:r>
      <w:r w:rsidR="00823C08" w:rsidRPr="00413148">
        <w:t xml:space="preserve">NYCHRL </w:t>
      </w:r>
      <w:r w:rsidR="3545B2AA" w:rsidRPr="00413148">
        <w:t xml:space="preserve">and are </w:t>
      </w:r>
      <w:r w:rsidR="00823C08" w:rsidRPr="00413148">
        <w:t>prohibit</w:t>
      </w:r>
      <w:r w:rsidR="21F17071" w:rsidRPr="00413148">
        <w:t>ed from</w:t>
      </w:r>
      <w:r w:rsidR="00823C08" w:rsidRPr="00413148">
        <w:t xml:space="preserve"> unlawful discriminatory practices in employment</w:t>
      </w:r>
      <w:r w:rsidR="008A7141" w:rsidRPr="00413148">
        <w:t xml:space="preserve"> </w:t>
      </w:r>
      <w:r w:rsidR="6BCE23E1" w:rsidRPr="00413148">
        <w:t xml:space="preserve">include </w:t>
      </w:r>
      <w:r w:rsidR="00823C08" w:rsidRPr="00413148">
        <w:t xml:space="preserve">employers, </w:t>
      </w:r>
      <w:r w:rsidR="00823C08" w:rsidRPr="00413148">
        <w:lastRenderedPageBreak/>
        <w:t>labor organizations</w:t>
      </w:r>
      <w:r w:rsidR="00E6045D" w:rsidRPr="00413148">
        <w:t>,</w:t>
      </w:r>
      <w:r w:rsidR="00291B50" w:rsidRPr="00413148">
        <w:rPr>
          <w:rStyle w:val="FootnoteReference"/>
        </w:rPr>
        <w:footnoteReference w:id="101"/>
      </w:r>
      <w:r w:rsidR="00823C08" w:rsidRPr="00413148">
        <w:t xml:space="preserve"> employment agencies</w:t>
      </w:r>
      <w:r w:rsidR="00E6045D" w:rsidRPr="00413148">
        <w:t>,</w:t>
      </w:r>
      <w:r w:rsidR="00291B50" w:rsidRPr="00413148">
        <w:rPr>
          <w:rStyle w:val="FootnoteReference"/>
        </w:rPr>
        <w:footnoteReference w:id="102"/>
      </w:r>
      <w:r w:rsidR="00823C08" w:rsidRPr="00413148">
        <w:t xml:space="preserve"> joint labor-management committees controlling apprentice training programs, or any employee(s) or agent(s) thereof.</w:t>
      </w:r>
      <w:r w:rsidR="00823C08" w:rsidRPr="00413148">
        <w:rPr>
          <w:rStyle w:val="FootnoteReference"/>
        </w:rPr>
        <w:footnoteReference w:id="103"/>
      </w:r>
      <w:r w:rsidR="00823C08" w:rsidRPr="00413148">
        <w:t xml:space="preserve"> </w:t>
      </w:r>
      <w:r w:rsidR="7CFD8DAB" w:rsidRPr="00413148">
        <w:t xml:space="preserve">The NYCHRL defines </w:t>
      </w:r>
      <w:r w:rsidR="2C701EEA" w:rsidRPr="00413148">
        <w:t>covered employers to</w:t>
      </w:r>
      <w:r w:rsidR="00823C08" w:rsidRPr="00413148">
        <w:t xml:space="preserve"> include any entity or individual with four or more persons in their employ, or </w:t>
      </w:r>
      <w:r w:rsidR="24C7BA69" w:rsidRPr="00413148">
        <w:t xml:space="preserve">with one </w:t>
      </w:r>
      <w:r w:rsidR="00823C08" w:rsidRPr="00413148">
        <w:t>or more domestic workers.</w:t>
      </w:r>
      <w:r w:rsidR="6E7524FD" w:rsidRPr="00413148">
        <w:t xml:space="preserve"> </w:t>
      </w:r>
      <w:r w:rsidR="17066B2D" w:rsidRPr="00413148">
        <w:rPr>
          <w:rFonts w:eastAsia="Arial" w:cs="Arial"/>
          <w:szCs w:val="32"/>
        </w:rPr>
        <w:t>Independent contractors working in furtherance of a business enterprise, and an employer’s spouse, domestic partner, parent, or child are included</w:t>
      </w:r>
      <w:r w:rsidR="1730A50D" w:rsidRPr="00413148">
        <w:rPr>
          <w:rFonts w:eastAsia="Arial" w:cs="Arial"/>
          <w:szCs w:val="32"/>
        </w:rPr>
        <w:t xml:space="preserve"> in these counts</w:t>
      </w:r>
      <w:r w:rsidR="00823C08" w:rsidRPr="00413148">
        <w:t>.</w:t>
      </w:r>
      <w:r w:rsidR="00823C08" w:rsidRPr="00413148">
        <w:rPr>
          <w:rStyle w:val="FootnoteReference"/>
        </w:rPr>
        <w:footnoteReference w:id="104"/>
      </w:r>
      <w:r w:rsidR="007F231F" w:rsidRPr="00413148" w:rsidDel="007F231F">
        <w:t xml:space="preserve"> </w:t>
      </w:r>
    </w:p>
    <w:p w14:paraId="6BB624C8" w14:textId="77777777" w:rsidR="00823C08" w:rsidRPr="00413148" w:rsidRDefault="00823C08" w:rsidP="00064CAB"/>
    <w:p w14:paraId="45AE03CB" w14:textId="77777777" w:rsidR="00823C08" w:rsidRPr="00413148" w:rsidRDefault="00823C08" w:rsidP="00113630">
      <w:pPr>
        <w:pStyle w:val="Heading3"/>
        <w:numPr>
          <w:ilvl w:val="0"/>
          <w:numId w:val="11"/>
        </w:numPr>
        <w:spacing w:before="0" w:after="0"/>
        <w:ind w:left="900" w:hanging="360"/>
        <w:rPr>
          <w:rFonts w:cs="Arial"/>
          <w:b/>
          <w:bCs/>
          <w:color w:val="4B0082"/>
          <w:sz w:val="32"/>
          <w:szCs w:val="32"/>
        </w:rPr>
      </w:pPr>
      <w:bookmarkStart w:id="29" w:name="_Toc218083749"/>
      <w:r w:rsidRPr="00413148">
        <w:rPr>
          <w:rFonts w:cs="Arial"/>
          <w:b/>
          <w:bCs/>
          <w:color w:val="4B0082"/>
          <w:sz w:val="32"/>
          <w:szCs w:val="32"/>
        </w:rPr>
        <w:t>Postings, Applications, and Selection Processe</w:t>
      </w:r>
      <w:r w:rsidR="00754F52" w:rsidRPr="00413148">
        <w:rPr>
          <w:rFonts w:cs="Arial"/>
          <w:b/>
          <w:bCs/>
          <w:color w:val="4B0082"/>
          <w:sz w:val="32"/>
          <w:szCs w:val="32"/>
        </w:rPr>
        <w:t>s</w:t>
      </w:r>
      <w:bookmarkEnd w:id="29"/>
    </w:p>
    <w:p w14:paraId="02AE97EB" w14:textId="77777777" w:rsidR="00E224FA" w:rsidRPr="00413148" w:rsidRDefault="00E224FA" w:rsidP="00064CAB"/>
    <w:p w14:paraId="3FD45564" w14:textId="77777777" w:rsidR="00823C08" w:rsidRPr="00413148" w:rsidRDefault="00823C08" w:rsidP="00113630">
      <w:pPr>
        <w:pStyle w:val="Heading4"/>
        <w:numPr>
          <w:ilvl w:val="0"/>
          <w:numId w:val="5"/>
        </w:numPr>
        <w:spacing w:before="0" w:after="0"/>
        <w:ind w:left="1440" w:hanging="540"/>
        <w:rPr>
          <w:b/>
          <w:bCs/>
          <w:color w:val="4B0082"/>
          <w:szCs w:val="32"/>
        </w:rPr>
      </w:pPr>
      <w:r w:rsidRPr="00413148">
        <w:rPr>
          <w:b/>
          <w:bCs/>
          <w:color w:val="4B0082"/>
          <w:szCs w:val="32"/>
        </w:rPr>
        <w:t>Job Postings and Advertisements</w:t>
      </w:r>
    </w:p>
    <w:p w14:paraId="4FDCC494" w14:textId="77777777" w:rsidR="00823C08" w:rsidRPr="00413148" w:rsidRDefault="00823C08" w:rsidP="00064CAB"/>
    <w:p w14:paraId="636E4724" w14:textId="77777777" w:rsidR="00823C08" w:rsidRPr="00413148" w:rsidRDefault="00823C08" w:rsidP="00536D17">
      <w:r w:rsidRPr="00413148">
        <w:t>Under the NYCHRL, it is unlawful for an employer to “declare, print or circulate or cause to be declared, printed or circulated any statement, advertisement or publication” which “expresses, directly or indirectly, any limitation, specification or discrimination” against individuals with disabilities, or “any intent to make any such limitation, specification or discrimination.”</w:t>
      </w:r>
      <w:r w:rsidRPr="00413148">
        <w:rPr>
          <w:rStyle w:val="FootnoteReference"/>
        </w:rPr>
        <w:footnoteReference w:id="105"/>
      </w:r>
      <w:r w:rsidRPr="00413148">
        <w:rPr>
          <w:rStyle w:val="FootnoteReference"/>
        </w:rPr>
        <w:t xml:space="preserve"> </w:t>
      </w:r>
      <w:r w:rsidRPr="00413148">
        <w:t>Job postings or advertisements that state physical requirements or specifications that are unrelated to the essential requisites of the job may violate the NYCHRL by directly or indirectly expressing a limitation or specification that discriminates against individuals with disabilities.</w:t>
      </w:r>
    </w:p>
    <w:p w14:paraId="18AC2711" w14:textId="77777777" w:rsidR="00823C08" w:rsidRPr="00413148" w:rsidRDefault="00823C08" w:rsidP="00536D17"/>
    <w:p w14:paraId="1F637BBD" w14:textId="77777777" w:rsidR="00823C08" w:rsidRPr="00413148" w:rsidRDefault="00823C08" w:rsidP="00536D17">
      <w:r w:rsidRPr="00413148">
        <w:t xml:space="preserve">Employers should be careful to word job postings in a way that conveys the essential requisites of the job without implicitly excluding individuals with disabilities. Furthermore, employers are encouraged to include </w:t>
      </w:r>
      <w:r w:rsidR="00454EB6" w:rsidRPr="00413148">
        <w:t>in</w:t>
      </w:r>
      <w:r w:rsidRPr="00413148">
        <w:t xml:space="preserve"> their advertisements a statement that informs applicants that they can request reasonable accommodation(s) for interviews and to satisfy the essential requisites of the job.</w:t>
      </w:r>
    </w:p>
    <w:p w14:paraId="468EBCDA" w14:textId="77777777" w:rsidR="00823C08" w:rsidRPr="00413148" w:rsidRDefault="00823C08" w:rsidP="00064CAB"/>
    <w:p w14:paraId="6CEFE410" w14:textId="77777777" w:rsidR="00823C08" w:rsidRPr="00413148" w:rsidRDefault="00823C08" w:rsidP="00113630">
      <w:pPr>
        <w:pStyle w:val="Heading4"/>
        <w:numPr>
          <w:ilvl w:val="0"/>
          <w:numId w:val="5"/>
        </w:numPr>
        <w:spacing w:before="0" w:after="0"/>
        <w:ind w:left="1440" w:hanging="540"/>
        <w:rPr>
          <w:b/>
          <w:bCs/>
          <w:color w:val="4B0082"/>
          <w:szCs w:val="32"/>
        </w:rPr>
      </w:pPr>
      <w:r w:rsidRPr="00413148">
        <w:rPr>
          <w:b/>
          <w:bCs/>
          <w:color w:val="4B0082"/>
          <w:szCs w:val="32"/>
        </w:rPr>
        <w:t>Applications</w:t>
      </w:r>
    </w:p>
    <w:p w14:paraId="4A0D3718" w14:textId="77777777" w:rsidR="00823C08" w:rsidRPr="00413148" w:rsidRDefault="00823C08" w:rsidP="00064CAB"/>
    <w:p w14:paraId="7807622A" w14:textId="15AC4F32" w:rsidR="00823C08" w:rsidRPr="00413148" w:rsidRDefault="44BD52E4" w:rsidP="00064CAB">
      <w:r w:rsidRPr="00413148">
        <w:t>Under the NYCHRL, it is unlawful for an employer to “use any form of application for employment or to make any inquiry in connection with prospective employment, which expresses, directly or indirectly, any limitation, specification or discrimination” against individuals with disabilities, or “any intent to make any such limitation, specification or discrimination.”</w:t>
      </w:r>
      <w:r w:rsidR="00823C08" w:rsidRPr="00413148">
        <w:rPr>
          <w:rStyle w:val="FootnoteReference"/>
        </w:rPr>
        <w:footnoteReference w:id="106"/>
      </w:r>
      <w:r w:rsidRPr="00413148">
        <w:t xml:space="preserve"> </w:t>
      </w:r>
      <w:r w:rsidR="5F31D34F" w:rsidRPr="00413148">
        <w:t>H</w:t>
      </w:r>
      <w:r w:rsidRPr="00413148">
        <w:t xml:space="preserve">aving an application available in </w:t>
      </w:r>
      <w:r w:rsidR="5F31D34F" w:rsidRPr="00413148">
        <w:t xml:space="preserve">only </w:t>
      </w:r>
      <w:r w:rsidRPr="00413148">
        <w:t>one format, such as an electronic application form</w:t>
      </w:r>
      <w:r w:rsidR="5784798E" w:rsidRPr="00413148">
        <w:t xml:space="preserve"> only</w:t>
      </w:r>
      <w:r w:rsidR="18521D1F" w:rsidRPr="00413148">
        <w:t>, may also violate the NYCHRL</w:t>
      </w:r>
      <w:r w:rsidR="0727CF5C" w:rsidRPr="00413148">
        <w:t xml:space="preserve"> </w:t>
      </w:r>
      <w:r w:rsidR="74EA71F5" w:rsidRPr="00413148">
        <w:t xml:space="preserve">because it can </w:t>
      </w:r>
      <w:r w:rsidR="5E7741C7" w:rsidRPr="00413148">
        <w:t xml:space="preserve">limit accessibility for </w:t>
      </w:r>
      <w:r w:rsidR="6A43833A" w:rsidRPr="00413148">
        <w:t>individuals with disabilities</w:t>
      </w:r>
      <w:r w:rsidR="1CB44BDB" w:rsidRPr="00413148">
        <w:t>.</w:t>
      </w:r>
      <w:r w:rsidR="0040703A" w:rsidRPr="00413148">
        <w:t xml:space="preserve"> To address this, the employer should be prepared to offer alternative ways to make an application.</w:t>
      </w:r>
      <w:r w:rsidR="00593DFD" w:rsidRPr="00413148">
        <w:t xml:space="preserve"> In this instance, offering a paper form</w:t>
      </w:r>
      <w:r w:rsidR="5E27EA3A" w:rsidRPr="00413148">
        <w:t xml:space="preserve"> </w:t>
      </w:r>
      <w:r w:rsidR="00593DFD" w:rsidRPr="00413148" w:rsidDel="00274B6A">
        <w:t xml:space="preserve">or </w:t>
      </w:r>
      <w:r w:rsidR="00593DFD" w:rsidRPr="00413148">
        <w:t>ensuring screen readability could help meet the needs of persons with low vision</w:t>
      </w:r>
      <w:r w:rsidR="00274B6A" w:rsidRPr="00413148">
        <w:t xml:space="preserve">, </w:t>
      </w:r>
      <w:r w:rsidR="3C206E40" w:rsidRPr="00413148">
        <w:t xml:space="preserve">as could </w:t>
      </w:r>
      <w:r w:rsidR="00545459" w:rsidRPr="00413148">
        <w:t xml:space="preserve">having a staff </w:t>
      </w:r>
      <w:r w:rsidR="003A0EDE" w:rsidRPr="00413148">
        <w:t>member</w:t>
      </w:r>
      <w:r w:rsidR="00545459" w:rsidRPr="00413148">
        <w:t xml:space="preserve"> assist an </w:t>
      </w:r>
      <w:r w:rsidR="002B5E1A" w:rsidRPr="00413148">
        <w:t>individual</w:t>
      </w:r>
      <w:r w:rsidR="00545459" w:rsidRPr="00413148">
        <w:t xml:space="preserve"> with the application</w:t>
      </w:r>
      <w:r w:rsidR="00B17951" w:rsidRPr="00413148">
        <w:t>.</w:t>
      </w:r>
    </w:p>
    <w:p w14:paraId="4E4DEC47" w14:textId="77777777" w:rsidR="00823C08" w:rsidRPr="00413148" w:rsidRDefault="00823C08" w:rsidP="00064CAB"/>
    <w:p w14:paraId="1E6E45EC" w14:textId="77777777" w:rsidR="00823C08" w:rsidRPr="00413148" w:rsidRDefault="540DE81E" w:rsidP="00064CAB">
      <w:r w:rsidRPr="00413148">
        <w:t xml:space="preserve">Additionally, application forms that include inquiries about an applicant’s disability may violate the NYCHRL, however, there are some circumstances where such inquiries are allowed. </w:t>
      </w:r>
      <w:r w:rsidR="214EB23C" w:rsidRPr="00413148">
        <w:t>For example, a</w:t>
      </w:r>
      <w:r w:rsidR="44BD52E4" w:rsidRPr="00413148">
        <w:t>n application may include a “yes or no” question about an applicant’s ability to perform</w:t>
      </w:r>
      <w:r w:rsidR="72074CF3" w:rsidRPr="00413148">
        <w:t xml:space="preserve"> </w:t>
      </w:r>
      <w:r w:rsidR="7B6FDFF3" w:rsidRPr="00413148">
        <w:t>essential</w:t>
      </w:r>
      <w:r w:rsidR="44BD52E4" w:rsidRPr="00413148">
        <w:t xml:space="preserve"> </w:t>
      </w:r>
      <w:r w:rsidR="0DB5E966" w:rsidRPr="00413148">
        <w:t xml:space="preserve">job </w:t>
      </w:r>
      <w:r w:rsidR="7E73950C" w:rsidRPr="00413148">
        <w:t>duties</w:t>
      </w:r>
      <w:r w:rsidR="44BD52E4" w:rsidRPr="00413148">
        <w:t xml:space="preserve"> with or without an accommodation.</w:t>
      </w:r>
      <w:r w:rsidR="28CF6F5D" w:rsidRPr="00413148">
        <w:t xml:space="preserve"> </w:t>
      </w:r>
      <w:r w:rsidR="44BD52E4" w:rsidRPr="00413148">
        <w:t xml:space="preserve">Additionally, some federal, state, or local laws or regulations may require inquiries into disability status to determine eligibility in certain employment programs, such as those applicable to veterans with disabilities. Inquiries about disabilities may be </w:t>
      </w:r>
      <w:r w:rsidR="44BD52E4" w:rsidRPr="00413148">
        <w:lastRenderedPageBreak/>
        <w:t xml:space="preserve">necessary under such laws to identify applicants with disabilities in order to </w:t>
      </w:r>
      <w:r w:rsidR="00DA6946" w:rsidRPr="00413148">
        <w:t>confirm that t</w:t>
      </w:r>
      <w:r w:rsidR="009E1E90" w:rsidRPr="00413148">
        <w:t>he applicants are qualified to participate in the program</w:t>
      </w:r>
      <w:r w:rsidR="44BD52E4" w:rsidRPr="00413148">
        <w:t>.</w:t>
      </w:r>
      <w:r w:rsidR="00823C08" w:rsidRPr="00413148">
        <w:rPr>
          <w:rStyle w:val="FootnoteReference"/>
        </w:rPr>
        <w:footnoteReference w:id="107"/>
      </w:r>
      <w:r w:rsidR="44BD52E4" w:rsidRPr="00413148">
        <w:t xml:space="preserve"> </w:t>
      </w:r>
      <w:r w:rsidR="21C47E87" w:rsidRPr="00413148">
        <w:t>In these instances, t</w:t>
      </w:r>
      <w:r w:rsidR="44BD52E4" w:rsidRPr="00413148">
        <w:t>he employer may request information or documentation of the disability needed to qualify for the program. Employers are advised to ensure that any medical or disability-related information is kept confidential and in medical files separate from an employee’s general personnel file to avoid unnecessarily disclosing the applicant’s private medical documents and to ensure that managers and other employees are not accidentally given access to the information.</w:t>
      </w:r>
      <w:r w:rsidR="00823C08" w:rsidRPr="00413148">
        <w:rPr>
          <w:rStyle w:val="FootnoteReference"/>
        </w:rPr>
        <w:footnoteReference w:id="108"/>
      </w:r>
    </w:p>
    <w:p w14:paraId="077D3851" w14:textId="77777777" w:rsidR="00823C08" w:rsidRPr="00413148" w:rsidRDefault="00823C08" w:rsidP="00064CAB"/>
    <w:p w14:paraId="69E63D23" w14:textId="77777777" w:rsidR="00823C08" w:rsidRPr="00413148" w:rsidRDefault="00823C08" w:rsidP="00113630">
      <w:pPr>
        <w:pStyle w:val="Heading4"/>
        <w:numPr>
          <w:ilvl w:val="0"/>
          <w:numId w:val="5"/>
        </w:numPr>
        <w:spacing w:before="0" w:after="0"/>
        <w:ind w:left="1440" w:hanging="540"/>
        <w:rPr>
          <w:b/>
          <w:bCs/>
          <w:color w:val="4B0082"/>
          <w:szCs w:val="32"/>
        </w:rPr>
      </w:pPr>
      <w:r w:rsidRPr="00413148">
        <w:rPr>
          <w:b/>
          <w:bCs/>
          <w:color w:val="4B0082"/>
          <w:szCs w:val="32"/>
        </w:rPr>
        <w:t>Interviews</w:t>
      </w:r>
    </w:p>
    <w:p w14:paraId="40C44D05" w14:textId="77777777" w:rsidR="00823C08" w:rsidRPr="00413148" w:rsidRDefault="00823C08" w:rsidP="00064CAB"/>
    <w:p w14:paraId="45CB8279" w14:textId="69A5AC40" w:rsidR="00823C08" w:rsidRPr="00413148" w:rsidRDefault="00823C08" w:rsidP="00064CAB">
      <w:r w:rsidRPr="00413148">
        <w:t>The NYCHRL</w:t>
      </w:r>
      <w:r w:rsidR="004D1B76" w:rsidRPr="00413148">
        <w:t>’s</w:t>
      </w:r>
      <w:r w:rsidRPr="00413148">
        <w:t xml:space="preserve"> prohibit</w:t>
      </w:r>
      <w:r w:rsidR="006B286B" w:rsidRPr="00413148">
        <w:t>ion</w:t>
      </w:r>
      <w:r w:rsidR="002619E2" w:rsidRPr="00413148">
        <w:t>s</w:t>
      </w:r>
      <w:r w:rsidR="006B286B" w:rsidRPr="00413148">
        <w:t xml:space="preserve"> again</w:t>
      </w:r>
      <w:r w:rsidR="003D0ADE" w:rsidRPr="00413148">
        <w:t>s</w:t>
      </w:r>
      <w:r w:rsidR="006B286B" w:rsidRPr="00413148">
        <w:t>t</w:t>
      </w:r>
      <w:r w:rsidRPr="00413148">
        <w:t xml:space="preserve"> inquiries </w:t>
      </w:r>
      <w:r w:rsidR="570A5BFB" w:rsidRPr="00413148">
        <w:t>that</w:t>
      </w:r>
      <w:r w:rsidRPr="00413148">
        <w:t xml:space="preserve"> express any limitation, specification, or discrimination based on an individual’s disability, or </w:t>
      </w:r>
      <w:r w:rsidR="755C28EE" w:rsidRPr="00413148">
        <w:t xml:space="preserve">the </w:t>
      </w:r>
      <w:r w:rsidRPr="00413148">
        <w:t xml:space="preserve">intent to </w:t>
      </w:r>
      <w:r w:rsidR="2DDE5283" w:rsidRPr="00413148">
        <w:t xml:space="preserve">do so </w:t>
      </w:r>
      <w:r w:rsidR="54EA7518" w:rsidRPr="00413148">
        <w:t>apply to communications with prospective employees, including interviews</w:t>
      </w:r>
      <w:r w:rsidRPr="00413148">
        <w:t>.</w:t>
      </w:r>
      <w:r w:rsidRPr="00413148">
        <w:rPr>
          <w:rStyle w:val="FootnoteReference"/>
        </w:rPr>
        <w:footnoteReference w:id="109"/>
      </w:r>
      <w:r w:rsidRPr="00413148">
        <w:t xml:space="preserve"> Employers should focus their interview questions on the ability of the applicant to perform the essential requisites of the job</w:t>
      </w:r>
      <w:r w:rsidR="45B06C93" w:rsidRPr="00413148">
        <w:t>, and the skills and experience they bring to the workplace</w:t>
      </w:r>
      <w:r w:rsidRPr="00413148">
        <w:t>. For example, while it may be unlawful for the employer to ask a job applicant if he has a disability, it</w:t>
      </w:r>
      <w:r w:rsidR="00950333" w:rsidRPr="00413148">
        <w:t xml:space="preserve"> generally</w:t>
      </w:r>
      <w:r w:rsidRPr="00413148">
        <w:t xml:space="preserve"> is not unlawful for an employer to ask a job applicant whether he can perform the essential requisites of the job, with or without an accommodation. Employers are also required to provide reasonable accommodations for applicants during the interview process.</w:t>
      </w:r>
      <w:r w:rsidRPr="00413148">
        <w:rPr>
          <w:rStyle w:val="FootnoteReference"/>
        </w:rPr>
        <w:footnoteReference w:id="110"/>
      </w:r>
    </w:p>
    <w:p w14:paraId="2B5924A4" w14:textId="77777777" w:rsidR="00823C08" w:rsidRPr="00413148" w:rsidRDefault="00823C08" w:rsidP="00064CAB"/>
    <w:p w14:paraId="15DF6266" w14:textId="77777777" w:rsidR="00823C08" w:rsidRPr="00413148" w:rsidRDefault="00823C08" w:rsidP="00113630">
      <w:pPr>
        <w:pStyle w:val="Heading4"/>
        <w:numPr>
          <w:ilvl w:val="0"/>
          <w:numId w:val="5"/>
        </w:numPr>
        <w:spacing w:before="0" w:after="0"/>
        <w:ind w:left="1440" w:hanging="540"/>
        <w:rPr>
          <w:b/>
          <w:bCs/>
          <w:color w:val="4B0082"/>
          <w:szCs w:val="32"/>
        </w:rPr>
      </w:pPr>
      <w:r w:rsidRPr="00413148">
        <w:rPr>
          <w:b/>
          <w:bCs/>
          <w:color w:val="4B0082"/>
          <w:szCs w:val="32"/>
        </w:rPr>
        <w:t>Selection Process After Interviews</w:t>
      </w:r>
    </w:p>
    <w:p w14:paraId="35CEAD16" w14:textId="77777777" w:rsidR="00823C08" w:rsidRPr="00413148" w:rsidRDefault="00823C08" w:rsidP="00064CAB">
      <w:pPr>
        <w:rPr>
          <w:color w:val="4B0082"/>
          <w:highlight w:val="green"/>
        </w:rPr>
      </w:pPr>
    </w:p>
    <w:p w14:paraId="54D2EA26" w14:textId="1DDBB339" w:rsidR="000A517D" w:rsidRPr="00413148" w:rsidRDefault="00823C08" w:rsidP="000A517D">
      <w:r w:rsidRPr="00413148">
        <w:t>Employers cannot use qualification standards, employment tests, or other selection criteria that intentionally or unintentionally screen out persons with disabilities</w:t>
      </w:r>
      <w:r w:rsidRPr="00413148" w:rsidDel="00A17D9F">
        <w:t xml:space="preserve">, or </w:t>
      </w:r>
      <w:r w:rsidRPr="00413148">
        <w:t>disproportionately screen out persons with disabilities, unless the standard, test, or other selection criteria, as used by the employer</w:t>
      </w:r>
      <w:r w:rsidR="0040703A" w:rsidRPr="00413148">
        <w:t>,</w:t>
      </w:r>
      <w:r w:rsidRPr="00413148">
        <w:t xml:space="preserve"> </w:t>
      </w:r>
      <w:r w:rsidRPr="00413148">
        <w:rPr>
          <w:rFonts w:eastAsia="Times New Roman"/>
        </w:rPr>
        <w:t>bears a significant relationship to a significant business objective of the covered entity</w:t>
      </w:r>
      <w:r w:rsidRPr="00413148">
        <w:t>.</w:t>
      </w:r>
      <w:r w:rsidRPr="00413148">
        <w:rPr>
          <w:rStyle w:val="FootnoteReference"/>
        </w:rPr>
        <w:footnoteReference w:id="111"/>
      </w:r>
      <w:r w:rsidRPr="00413148">
        <w:t xml:space="preserve"> As such, selection criteria should be focused on the essential requisites of the job. Employers are also required to </w:t>
      </w:r>
      <w:r w:rsidR="00890F8F" w:rsidRPr="00413148">
        <w:t>engage in the cooperative dial</w:t>
      </w:r>
      <w:r w:rsidR="0034705D" w:rsidRPr="00413148">
        <w:t>ogue</w:t>
      </w:r>
      <w:r w:rsidR="00EE44AF" w:rsidRPr="00413148">
        <w:t xml:space="preserve"> process</w:t>
      </w:r>
      <w:r w:rsidR="0034705D" w:rsidRPr="00413148">
        <w:t xml:space="preserve"> and</w:t>
      </w:r>
      <w:r w:rsidRPr="00413148">
        <w:t xml:space="preserve"> provide reasonable accommodations for applicants during pre-employment testing.</w:t>
      </w:r>
      <w:r w:rsidRPr="00413148">
        <w:rPr>
          <w:rStyle w:val="FootnoteReference"/>
        </w:rPr>
        <w:footnoteReference w:id="112"/>
      </w:r>
      <w:r w:rsidR="0040703A" w:rsidRPr="00413148">
        <w:t xml:space="preserve"> </w:t>
      </w:r>
    </w:p>
    <w:p w14:paraId="3A6DA6BF" w14:textId="77777777" w:rsidR="00593DFD" w:rsidRPr="00413148" w:rsidRDefault="00593DFD" w:rsidP="000A517D"/>
    <w:p w14:paraId="1BA2B94B" w14:textId="77777777" w:rsidR="00AA6603" w:rsidRDefault="00AA6603" w:rsidP="002C70B6">
      <w:pPr>
        <w:pStyle w:val="Heading3"/>
        <w:numPr>
          <w:ilvl w:val="2"/>
          <w:numId w:val="2"/>
        </w:numPr>
        <w:spacing w:before="0" w:after="0"/>
        <w:ind w:left="900"/>
        <w:rPr>
          <w:rFonts w:cs="Arial"/>
          <w:b/>
          <w:bCs/>
          <w:color w:val="4B0082"/>
          <w:sz w:val="32"/>
          <w:szCs w:val="32"/>
        </w:rPr>
      </w:pPr>
      <w:r w:rsidRPr="002C70B6">
        <w:rPr>
          <w:rFonts w:cs="Arial"/>
          <w:b/>
          <w:bCs/>
          <w:color w:val="4B0082"/>
          <w:sz w:val="32"/>
          <w:szCs w:val="32"/>
        </w:rPr>
        <w:t>Example of a Lawful Pre-Employment Test</w:t>
      </w:r>
    </w:p>
    <w:p w14:paraId="024234ED" w14:textId="77777777" w:rsidR="002C70B6" w:rsidRPr="002C70B6" w:rsidRDefault="002C70B6" w:rsidP="002C70B6"/>
    <w:p w14:paraId="4CAB25CC" w14:textId="77777777" w:rsidR="00AA6603" w:rsidRPr="00413148" w:rsidRDefault="00AA6603" w:rsidP="00064CAB">
      <w:pPr>
        <w:pStyle w:val="ListParagraph"/>
      </w:pPr>
      <w:r w:rsidRPr="00413148">
        <w:t>Applicants for an accounting position may be required to take a test of accounting knowledge. However, the employer must provide reasonable accommodations</w:t>
      </w:r>
      <w:r w:rsidR="00A12CAE" w:rsidRPr="00413148">
        <w:t>,</w:t>
      </w:r>
      <w:r w:rsidRPr="00413148">
        <w:t xml:space="preserve"> if necessary, such as providing screen reading software for a visually impaired applicant, to ensure that all applicants are fairly assessed on the essential requisites of the job.</w:t>
      </w:r>
    </w:p>
    <w:p w14:paraId="5CD5DBC0" w14:textId="77777777" w:rsidR="00AA6603" w:rsidRPr="00413148" w:rsidRDefault="00AA6603" w:rsidP="00064CAB"/>
    <w:p w14:paraId="135C2A05" w14:textId="77777777" w:rsidR="00AA6603" w:rsidRPr="00413148" w:rsidRDefault="00593DFD" w:rsidP="00064CAB">
      <w:r w:rsidRPr="00413148">
        <w:t>Generally, r</w:t>
      </w:r>
      <w:r w:rsidR="00AA6603" w:rsidRPr="00413148">
        <w:t xml:space="preserve">equiring the passage or completion of a medical exam, </w:t>
      </w:r>
      <w:r w:rsidR="00AB0EFA" w:rsidRPr="00413148">
        <w:t>medical</w:t>
      </w:r>
      <w:r w:rsidR="00AA6603" w:rsidRPr="00413148">
        <w:t xml:space="preserve"> inquiry, or </w:t>
      </w:r>
      <w:r w:rsidR="00AB0EFA" w:rsidRPr="00413148">
        <w:t>medical</w:t>
      </w:r>
      <w:r w:rsidR="00AA6603" w:rsidRPr="00413148">
        <w:t xml:space="preserve"> test prior to a conditional offer of employment is a violation of the NYCHRL because it expresses or implies a limitation based on an individual’s disability.</w:t>
      </w:r>
      <w:r w:rsidR="00AA6603" w:rsidRPr="00413148">
        <w:rPr>
          <w:rStyle w:val="FootnoteReference"/>
        </w:rPr>
        <w:footnoteReference w:id="113"/>
      </w:r>
      <w:r w:rsidR="00AA6603" w:rsidRPr="00413148">
        <w:t xml:space="preserve"> </w:t>
      </w:r>
      <w:r w:rsidR="0071387F" w:rsidRPr="00413148">
        <w:t xml:space="preserve">These are </w:t>
      </w:r>
      <w:r w:rsidR="006C4780" w:rsidRPr="00413148">
        <w:lastRenderedPageBreak/>
        <w:t>only</w:t>
      </w:r>
      <w:r w:rsidR="0071387F" w:rsidRPr="00413148">
        <w:t xml:space="preserve"> permissible </w:t>
      </w:r>
      <w:r w:rsidR="00D53BE0" w:rsidRPr="00413148">
        <w:t>criter</w:t>
      </w:r>
      <w:r w:rsidR="00B67AFE" w:rsidRPr="00413148">
        <w:t>ia</w:t>
      </w:r>
      <w:r w:rsidR="00AA6603" w:rsidRPr="00413148">
        <w:t xml:space="preserve"> for employment if</w:t>
      </w:r>
      <w:r w:rsidR="00B24D0F" w:rsidRPr="00413148">
        <w:t>: (a)</w:t>
      </w:r>
      <w:r w:rsidR="00AA6603" w:rsidRPr="00413148">
        <w:t xml:space="preserve"> required by law</w:t>
      </w:r>
      <w:r w:rsidR="000D6EF8" w:rsidRPr="00413148">
        <w:t>;</w:t>
      </w:r>
      <w:r w:rsidR="00AA6603" w:rsidRPr="00413148">
        <w:t xml:space="preserve"> or </w:t>
      </w:r>
      <w:r w:rsidR="000D6EF8" w:rsidRPr="00413148">
        <w:t>(b)</w:t>
      </w:r>
      <w:r w:rsidR="00AA6603" w:rsidRPr="00413148">
        <w:t xml:space="preserve"> applied consistently to all prospective employees, after a conditional offer of employment, regardless of the existence of an actual or perceived disability. Even if a medical exam, </w:t>
      </w:r>
      <w:r w:rsidR="003C679C" w:rsidRPr="00413148">
        <w:t xml:space="preserve">medical </w:t>
      </w:r>
      <w:r w:rsidR="00AA6603" w:rsidRPr="00413148">
        <w:t xml:space="preserve">inquiry, or </w:t>
      </w:r>
      <w:r w:rsidR="003C679C" w:rsidRPr="00413148">
        <w:t xml:space="preserve">medical </w:t>
      </w:r>
      <w:r w:rsidR="00AA6603" w:rsidRPr="00413148">
        <w:t xml:space="preserve">test does not occur until after a conditional offer, it may still be unlawful if used to screen out applicants with disabilities where the exclusionary criteria is not job-related and consistent with business necessity, and performance of the essential job </w:t>
      </w:r>
      <w:r w:rsidR="00677DC0" w:rsidRPr="00413148">
        <w:t xml:space="preserve">requisites </w:t>
      </w:r>
      <w:r w:rsidR="00AA6603" w:rsidRPr="00413148">
        <w:t>could be accomplished with a reasonable accommodation.</w:t>
      </w:r>
      <w:r w:rsidR="00AA6603" w:rsidRPr="00413148">
        <w:rPr>
          <w:rStyle w:val="FootnoteReference"/>
        </w:rPr>
        <w:footnoteReference w:id="114"/>
      </w:r>
      <w:r w:rsidR="00AA6603" w:rsidRPr="00413148">
        <w:t xml:space="preserve"> Employers </w:t>
      </w:r>
      <w:r w:rsidR="001F7FBC" w:rsidRPr="00413148">
        <w:t>should</w:t>
      </w:r>
      <w:r w:rsidR="00AA6603" w:rsidRPr="00413148">
        <w:t xml:space="preserve"> ensure that any medical information </w:t>
      </w:r>
      <w:r w:rsidR="00E513AB" w:rsidRPr="00413148">
        <w:t xml:space="preserve">they </w:t>
      </w:r>
      <w:r w:rsidR="00AA6603" w:rsidRPr="00413148">
        <w:t>obtain is kept confidential and in separate medical files to avoid unnecessarily disclosing an applicant’s private medical documents and to ensure that managers and other employees are not accidentally given access to the information.</w:t>
      </w:r>
    </w:p>
    <w:p w14:paraId="51C4D06A" w14:textId="77777777" w:rsidR="00AA6603" w:rsidRPr="00413148" w:rsidRDefault="00AA6603" w:rsidP="00064CAB"/>
    <w:p w14:paraId="067C611B" w14:textId="3763EAFF" w:rsidR="00AA6603" w:rsidRPr="00413148" w:rsidRDefault="00AA6603" w:rsidP="00113630">
      <w:pPr>
        <w:pStyle w:val="Heading3"/>
        <w:numPr>
          <w:ilvl w:val="0"/>
          <w:numId w:val="6"/>
        </w:numPr>
        <w:spacing w:before="0" w:after="0"/>
        <w:ind w:left="900" w:hanging="360"/>
        <w:rPr>
          <w:rFonts w:cs="Arial"/>
          <w:b/>
          <w:bCs/>
          <w:color w:val="4B0082"/>
          <w:sz w:val="32"/>
          <w:szCs w:val="32"/>
        </w:rPr>
      </w:pPr>
      <w:bookmarkStart w:id="30" w:name="_Toc218083750"/>
      <w:r w:rsidRPr="00413148">
        <w:rPr>
          <w:rFonts w:cs="Arial"/>
          <w:b/>
          <w:bCs/>
          <w:color w:val="4B0082"/>
          <w:sz w:val="32"/>
          <w:szCs w:val="32"/>
        </w:rPr>
        <w:t>Procedures Related to Current Employees</w:t>
      </w:r>
      <w:bookmarkEnd w:id="30"/>
    </w:p>
    <w:p w14:paraId="6CA6002E" w14:textId="77777777" w:rsidR="00AA6603" w:rsidRPr="00413148" w:rsidRDefault="00AA6603" w:rsidP="00064CAB"/>
    <w:p w14:paraId="3761C778" w14:textId="77777777" w:rsidR="007942C4" w:rsidRPr="00413148" w:rsidRDefault="02FF5BDD" w:rsidP="00064CAB">
      <w:r w:rsidRPr="00413148">
        <w:t>The NYCHRL prohibits discrimination against current employees with disabilities in compensation, terms, conditions, or privileges of employment</w:t>
      </w:r>
      <w:r w:rsidR="00210B12" w:rsidRPr="00413148">
        <w:t>.</w:t>
      </w:r>
      <w:r w:rsidR="00AA6603" w:rsidRPr="00413148">
        <w:rPr>
          <w:rStyle w:val="FootnoteReference"/>
        </w:rPr>
        <w:footnoteReference w:id="115"/>
      </w:r>
      <w:r w:rsidRPr="00413148">
        <w:t xml:space="preserve"> </w:t>
      </w:r>
      <w:r w:rsidR="00210B12" w:rsidRPr="00413148">
        <w:t>It also</w:t>
      </w:r>
      <w:r w:rsidR="001F7EBE" w:rsidRPr="00413148">
        <w:t xml:space="preserve"> </w:t>
      </w:r>
      <w:r w:rsidR="00C53AF3" w:rsidRPr="00413148">
        <w:t>generally</w:t>
      </w:r>
      <w:r w:rsidR="00210B12" w:rsidRPr="00413148">
        <w:t xml:space="preserve"> </w:t>
      </w:r>
      <w:r w:rsidRPr="00413148">
        <w:t>prohibits policies or practices that result in a disparate impact to the detriment of individuals with disabilities</w:t>
      </w:r>
      <w:r w:rsidR="00EA23C6" w:rsidRPr="00413148">
        <w:t>.</w:t>
      </w:r>
      <w:r w:rsidR="00AA6603" w:rsidRPr="00413148">
        <w:rPr>
          <w:rStyle w:val="FootnoteReference"/>
        </w:rPr>
        <w:footnoteReference w:id="116"/>
      </w:r>
      <w:r w:rsidRPr="00413148">
        <w:t xml:space="preserve"> </w:t>
      </w:r>
    </w:p>
    <w:p w14:paraId="3D2E09A8" w14:textId="77777777" w:rsidR="007942C4" w:rsidRPr="00413148" w:rsidRDefault="007942C4" w:rsidP="00064CAB"/>
    <w:p w14:paraId="2A353B50" w14:textId="68179B3A" w:rsidR="00AA6603" w:rsidRPr="00413148" w:rsidRDefault="007942C4" w:rsidP="00064CAB">
      <w:r w:rsidRPr="00413148">
        <w:t xml:space="preserve">Employers that require all employees holding particular jobs to undergo periodic medical examinations in the regular course of business may do so only if such periodic medical examinations are </w:t>
      </w:r>
      <w:r w:rsidRPr="00413148">
        <w:lastRenderedPageBreak/>
        <w:t>narrowly focused on the employee’s ability to perform the essential requisites of the job.</w:t>
      </w:r>
      <w:r w:rsidRPr="00413148">
        <w:rPr>
          <w:rStyle w:val="FootnoteReference"/>
        </w:rPr>
        <w:footnoteReference w:id="117"/>
      </w:r>
      <w:r w:rsidRPr="00413148">
        <w:t xml:space="preserve"> </w:t>
      </w:r>
      <w:r w:rsidR="02FF5BDD" w:rsidRPr="00413148">
        <w:t>Employers should not ask employees with disabilities questions about their disabilities or ask them to undergo disability-related medical examinations</w:t>
      </w:r>
      <w:r w:rsidRPr="00413148">
        <w:t xml:space="preserve"> in other circumstances</w:t>
      </w:r>
      <w:r w:rsidR="02FF5BDD" w:rsidRPr="00413148">
        <w:t xml:space="preserve">, except under one of three circumstances: </w:t>
      </w:r>
      <w:r w:rsidR="3CD81461" w:rsidRPr="00413148">
        <w:t>(</w:t>
      </w:r>
      <w:r w:rsidR="02FF5BDD" w:rsidRPr="00413148">
        <w:t xml:space="preserve">1) when an employer has reason to believe that an employee’s ability to perform the essential requisites of the job is impaired by a medical condition; </w:t>
      </w:r>
      <w:r w:rsidR="56D48303" w:rsidRPr="00413148">
        <w:t>(</w:t>
      </w:r>
      <w:r w:rsidR="02FF5BDD" w:rsidRPr="00413148">
        <w:t xml:space="preserve">2) the employer </w:t>
      </w:r>
      <w:r w:rsidR="06A86504" w:rsidRPr="00413148">
        <w:t xml:space="preserve">has a reasonable basis to be concerned </w:t>
      </w:r>
      <w:r w:rsidR="02FF5BDD" w:rsidRPr="00413148">
        <w:t>that an employee will pose a direct threat</w:t>
      </w:r>
      <w:r w:rsidR="00AA6603" w:rsidRPr="00413148">
        <w:rPr>
          <w:rStyle w:val="FootnoteReference"/>
        </w:rPr>
        <w:footnoteReference w:id="118"/>
      </w:r>
      <w:r w:rsidR="02FF5BDD" w:rsidRPr="00413148">
        <w:t xml:space="preserve"> to the safety and security of themselves, other employees, or the public due to the medical condition;</w:t>
      </w:r>
      <w:r w:rsidR="00AA6603" w:rsidRPr="00413148">
        <w:rPr>
          <w:rStyle w:val="FootnoteReference"/>
        </w:rPr>
        <w:footnoteReference w:id="119"/>
      </w:r>
      <w:r w:rsidR="02FF5BDD" w:rsidRPr="00413148">
        <w:t xml:space="preserve"> or (3) the employer is engaging in a cooperative dialog</w:t>
      </w:r>
      <w:r w:rsidR="00F40BC4" w:rsidRPr="00413148">
        <w:t>ue</w:t>
      </w:r>
      <w:r w:rsidR="02FF5BDD" w:rsidRPr="00413148">
        <w:t xml:space="preserve"> to determine </w:t>
      </w:r>
      <w:r w:rsidR="02FF5BDD" w:rsidRPr="00413148">
        <w:lastRenderedPageBreak/>
        <w:t>whether a reasonable accommodation should be provided for the employee.</w:t>
      </w:r>
    </w:p>
    <w:p w14:paraId="57313843" w14:textId="77777777" w:rsidR="00AA6603" w:rsidRPr="00413148" w:rsidRDefault="00AA6603" w:rsidP="00064CAB"/>
    <w:p w14:paraId="16485821" w14:textId="77777777" w:rsidR="00AA6603" w:rsidRPr="00413148" w:rsidRDefault="00AA6603" w:rsidP="00064CAB">
      <w:pPr>
        <w:rPr>
          <w:strike/>
        </w:rPr>
      </w:pPr>
      <w:r w:rsidRPr="00413148">
        <w:t>Employers may make disability-related inquiries or require a medical exam when a</w:t>
      </w:r>
      <w:r w:rsidR="00C5653D" w:rsidRPr="00413148">
        <w:t xml:space="preserve"> current</w:t>
      </w:r>
      <w:r w:rsidRPr="00413148">
        <w:t xml:space="preserve"> employee seeks to return to work</w:t>
      </w:r>
      <w:r w:rsidR="005B1681" w:rsidRPr="00413148">
        <w:t xml:space="preserve"> after taking leave for a medical condition</w:t>
      </w:r>
      <w:r w:rsidRPr="00413148">
        <w:t>, if an employer has a reasonable belief that an employee’s ability to perform essential requisites of the job may be impaired by a medical condition</w:t>
      </w:r>
      <w:r w:rsidR="00E86277" w:rsidRPr="00413148">
        <w:t>,</w:t>
      </w:r>
      <w:r w:rsidRPr="00413148">
        <w:t xml:space="preserve"> or that they may pose a direct threat due to a medical condition. Any inquiries or examination, however, must be limited in scope to what is needed to </w:t>
      </w:r>
      <w:proofErr w:type="gramStart"/>
      <w:r w:rsidRPr="00413148">
        <w:t>make an assessment of</w:t>
      </w:r>
      <w:proofErr w:type="gramEnd"/>
      <w:r w:rsidRPr="00413148">
        <w:t xml:space="preserve"> the employee’s ability to work.</w:t>
      </w:r>
      <w:r w:rsidRPr="00413148">
        <w:rPr>
          <w:vertAlign w:val="superscript"/>
        </w:rPr>
        <w:footnoteReference w:id="120"/>
      </w:r>
    </w:p>
    <w:p w14:paraId="7069B224" w14:textId="77777777" w:rsidR="00AA6603" w:rsidRPr="00413148" w:rsidRDefault="00AA6603" w:rsidP="00064CAB"/>
    <w:p w14:paraId="21E40C36" w14:textId="6FFCC645" w:rsidR="00AA6603" w:rsidRPr="00413148" w:rsidRDefault="00814CC5" w:rsidP="00113630">
      <w:pPr>
        <w:pStyle w:val="Heading3"/>
        <w:numPr>
          <w:ilvl w:val="0"/>
          <w:numId w:val="43"/>
        </w:numPr>
        <w:spacing w:before="0" w:after="0"/>
        <w:ind w:left="900" w:hanging="360"/>
        <w:rPr>
          <w:rFonts w:cs="Arial"/>
          <w:b/>
          <w:bCs/>
          <w:color w:val="4B0082"/>
          <w:sz w:val="32"/>
          <w:szCs w:val="32"/>
        </w:rPr>
      </w:pPr>
      <w:r>
        <w:rPr>
          <w:rFonts w:cs="Arial"/>
          <w:b/>
          <w:bCs/>
          <w:color w:val="4B0082"/>
          <w:sz w:val="32"/>
          <w:szCs w:val="32"/>
        </w:rPr>
        <w:t xml:space="preserve"> </w:t>
      </w:r>
      <w:bookmarkStart w:id="31" w:name="_Toc218083751"/>
      <w:r w:rsidR="00AA6603" w:rsidRPr="00413148">
        <w:rPr>
          <w:rFonts w:cs="Arial"/>
          <w:b/>
          <w:bCs/>
          <w:color w:val="4B0082"/>
          <w:sz w:val="32"/>
          <w:szCs w:val="32"/>
        </w:rPr>
        <w:t xml:space="preserve">Reasonable Accommodations </w:t>
      </w:r>
      <w:r w:rsidR="00F04705" w:rsidRPr="00413148">
        <w:rPr>
          <w:rFonts w:cs="Arial"/>
          <w:b/>
          <w:bCs/>
          <w:color w:val="4B0082"/>
          <w:sz w:val="32"/>
          <w:szCs w:val="32"/>
        </w:rPr>
        <w:t>in Employment</w:t>
      </w:r>
      <w:bookmarkEnd w:id="31"/>
    </w:p>
    <w:p w14:paraId="44B53448" w14:textId="77777777" w:rsidR="00AA6603" w:rsidRPr="00413148" w:rsidRDefault="00AA6603" w:rsidP="00064CAB"/>
    <w:p w14:paraId="76A37EA0" w14:textId="0E7C77F3" w:rsidR="00AA6603" w:rsidRPr="00413148" w:rsidRDefault="02FF5BDD" w:rsidP="00064CAB">
      <w:r w:rsidRPr="00413148">
        <w:t xml:space="preserve">As discussed above in </w:t>
      </w:r>
      <w:r w:rsidR="00370329" w:rsidRPr="00413148">
        <w:t>Part I(</w:t>
      </w:r>
      <w:r w:rsidR="00EC0228" w:rsidRPr="00413148">
        <w:t>D</w:t>
      </w:r>
      <w:r w:rsidR="001D4D31" w:rsidRPr="00413148">
        <w:t>)</w:t>
      </w:r>
      <w:r w:rsidRPr="00413148">
        <w:t>, the NYCHRL requires covered employers to provide reasonable accommodations for an individual’s disability that will allow the individual to perform the essential requisites of the job, so long as the covered entity knew or should have known of the individual’s disability. An accommodation is reasonable if it can be made without causing undue hardship to the covered entity’s business.</w:t>
      </w:r>
      <w:r w:rsidR="00AA6603" w:rsidRPr="00413148">
        <w:rPr>
          <w:rStyle w:val="FootnoteReference"/>
        </w:rPr>
        <w:footnoteReference w:id="121"/>
      </w:r>
      <w:r w:rsidRPr="00413148">
        <w:t xml:space="preserve"> </w:t>
      </w:r>
      <w:r w:rsidR="418BE63F" w:rsidRPr="00413148">
        <w:t xml:space="preserve">This </w:t>
      </w:r>
      <w:r w:rsidR="008C7F86" w:rsidRPr="00413148">
        <w:t>part</w:t>
      </w:r>
      <w:r w:rsidR="418BE63F" w:rsidRPr="00413148">
        <w:t xml:space="preserve"> emphasizes</w:t>
      </w:r>
      <w:r w:rsidRPr="00413148">
        <w:t xml:space="preserve"> employment</w:t>
      </w:r>
      <w:r w:rsidR="000E46D4" w:rsidRPr="00413148">
        <w:t>-</w:t>
      </w:r>
      <w:r w:rsidRPr="00413148">
        <w:t xml:space="preserve">specific considerations </w:t>
      </w:r>
      <w:r w:rsidR="514B1853" w:rsidRPr="00413148">
        <w:t xml:space="preserve">for </w:t>
      </w:r>
      <w:r w:rsidR="13AD16B4" w:rsidRPr="00413148">
        <w:t xml:space="preserve">reasonable </w:t>
      </w:r>
      <w:r w:rsidR="514B1853" w:rsidRPr="00413148">
        <w:t xml:space="preserve">accommodations. </w:t>
      </w:r>
      <w:r w:rsidR="00550AFF" w:rsidRPr="00413148">
        <w:t>Part II(</w:t>
      </w:r>
      <w:r w:rsidR="002C4F96" w:rsidRPr="00413148">
        <w:t>B)</w:t>
      </w:r>
      <w:r w:rsidR="514B1853" w:rsidRPr="00413148">
        <w:t xml:space="preserve"> focuses on </w:t>
      </w:r>
      <w:r w:rsidR="002C4F96" w:rsidRPr="00413148">
        <w:t>public accommodation</w:t>
      </w:r>
      <w:r w:rsidR="00487906" w:rsidRPr="00413148">
        <w:t>-</w:t>
      </w:r>
      <w:r w:rsidR="51D88EA7" w:rsidRPr="00413148">
        <w:t xml:space="preserve">specific considerations </w:t>
      </w:r>
      <w:r w:rsidR="514B1853" w:rsidRPr="00413148">
        <w:t xml:space="preserve">and </w:t>
      </w:r>
      <w:r w:rsidR="002C4F96" w:rsidRPr="00413148">
        <w:t>Part II(C)</w:t>
      </w:r>
      <w:r w:rsidR="514B1853" w:rsidRPr="00413148">
        <w:t xml:space="preserve"> focuses on housing</w:t>
      </w:r>
      <w:r w:rsidR="00487906" w:rsidRPr="00413148">
        <w:t>-</w:t>
      </w:r>
      <w:r w:rsidR="51D88EA7" w:rsidRPr="00413148">
        <w:t>specific considerations</w:t>
      </w:r>
      <w:r w:rsidR="3D56AA38" w:rsidRPr="00413148">
        <w:t>.</w:t>
      </w:r>
    </w:p>
    <w:p w14:paraId="793DC379" w14:textId="77777777" w:rsidR="00AA6603" w:rsidRPr="00413148" w:rsidRDefault="00AA6603" w:rsidP="00064CAB"/>
    <w:p w14:paraId="5180E2D4" w14:textId="77777777" w:rsidR="00AA6603" w:rsidRPr="00413148" w:rsidRDefault="4FEB5A16" w:rsidP="00064CAB">
      <w:r w:rsidRPr="00413148">
        <w:t>An employer considering accommodations</w:t>
      </w:r>
      <w:r w:rsidR="02FF5BDD" w:rsidRPr="00413148">
        <w:t xml:space="preserve"> for current employees needs to prioritize potential accommodations that will allow an employee to remain in their current position. When that is not possible, an employer may then consider whether the employee could be reassigned to a vacant position. In considering alternative positions, an employer </w:t>
      </w:r>
      <w:r w:rsidR="004D5F74" w:rsidRPr="00413148">
        <w:t>should</w:t>
      </w:r>
      <w:r w:rsidR="02FF5BDD" w:rsidRPr="00413148">
        <w:t xml:space="preserve"> consider the qualifications necessary </w:t>
      </w:r>
      <w:r w:rsidR="02FF5BDD" w:rsidRPr="00413148">
        <w:lastRenderedPageBreak/>
        <w:t>for the position and whether the pay, status, and benefits are equivalent to the employee’s current position. When a comparable position is unavailable, an employer may then explore alternative positions that are not comparable. In circumstances in which no other accommodation can be made, a paid or unpaid leave of absence</w:t>
      </w:r>
      <w:r w:rsidR="005324BC" w:rsidRPr="00413148">
        <w:t xml:space="preserve"> </w:t>
      </w:r>
      <w:r w:rsidR="02FF5BDD" w:rsidRPr="00413148">
        <w:t>may be offered as a temporary accommodation</w:t>
      </w:r>
      <w:r w:rsidR="676E75AB" w:rsidRPr="00413148">
        <w:t>, as discussed below.</w:t>
      </w:r>
    </w:p>
    <w:p w14:paraId="588AD22E" w14:textId="08F1B299" w:rsidR="000E5671" w:rsidRPr="00413148" w:rsidRDefault="000E5671" w:rsidP="009201B7"/>
    <w:p w14:paraId="60AE0F84" w14:textId="77777777" w:rsidR="00AA6603" w:rsidRPr="00413148" w:rsidRDefault="00AA6603" w:rsidP="00113630">
      <w:pPr>
        <w:pStyle w:val="Heading4"/>
        <w:numPr>
          <w:ilvl w:val="0"/>
          <w:numId w:val="7"/>
        </w:numPr>
        <w:spacing w:before="0" w:after="0"/>
        <w:ind w:left="1440" w:hanging="540"/>
        <w:rPr>
          <w:rFonts w:cs="Arial"/>
          <w:color w:val="4B0082"/>
        </w:rPr>
      </w:pPr>
      <w:r w:rsidRPr="00413148">
        <w:rPr>
          <w:rFonts w:cs="Arial"/>
          <w:b/>
          <w:bCs/>
          <w:color w:val="4B0082"/>
        </w:rPr>
        <w:t xml:space="preserve">Physical Space, Assistants, </w:t>
      </w:r>
      <w:r w:rsidR="003E4F31" w:rsidRPr="00413148">
        <w:rPr>
          <w:rFonts w:cs="Arial"/>
          <w:b/>
          <w:bCs/>
          <w:color w:val="4B0082"/>
        </w:rPr>
        <w:t xml:space="preserve">and </w:t>
      </w:r>
      <w:r w:rsidRPr="00413148">
        <w:rPr>
          <w:rFonts w:cs="Arial"/>
          <w:b/>
          <w:bCs/>
          <w:color w:val="4B0082"/>
        </w:rPr>
        <w:t xml:space="preserve">Technology </w:t>
      </w:r>
    </w:p>
    <w:p w14:paraId="10962EDF" w14:textId="77777777" w:rsidR="00AA6603" w:rsidRPr="00413148" w:rsidRDefault="00AA6603" w:rsidP="009201B7"/>
    <w:p w14:paraId="6C90D469" w14:textId="4895B720" w:rsidR="00AA6603" w:rsidRPr="00413148" w:rsidRDefault="02FF5BDD" w:rsidP="000E5671">
      <w:r w:rsidRPr="00413148">
        <w:t>Often, a reasonable accommodation in the employment context will involve making the workplace more accessible for individuals with disabilities. Reasonable accommodations may include obtaining equipment or technology, making changes to existing equipment, providing an assistant, making changes to workspaces or support facilities such as restrooms and cafeterias,</w:t>
      </w:r>
      <w:r w:rsidRPr="00413148" w:rsidDel="003345CB">
        <w:t xml:space="preserve"> </w:t>
      </w:r>
      <w:r w:rsidRPr="00413148">
        <w:t xml:space="preserve">allowing an employee to work </w:t>
      </w:r>
      <w:r w:rsidR="0288F805" w:rsidRPr="00413148">
        <w:t>remotely, or altering methods of communication for certain materials and information</w:t>
      </w:r>
      <w:r w:rsidRPr="00413148">
        <w:t xml:space="preserve">. </w:t>
      </w:r>
      <w:r w:rsidR="00235269" w:rsidRPr="00413148">
        <w:t xml:space="preserve">In existing facilities, structural changes may be necessary to the extent that they will allow an employee with a disability to perform the essential requisites of the job, including access to </w:t>
      </w:r>
      <w:r w:rsidR="00773706" w:rsidRPr="00413148">
        <w:t>workstations</w:t>
      </w:r>
      <w:r w:rsidR="00235269" w:rsidRPr="00413148">
        <w:t xml:space="preserve"> and support facilities such as restrooms and cafeterias. </w:t>
      </w:r>
      <w:r w:rsidRPr="00413148">
        <w:t>While employers should provide equipment that is specifically needed to perform a job, they are not obligated to provide equipment that an employee uses in daily life, such as glasses, a cane, or a hearing aid, that are readily transportable to the workplace.</w:t>
      </w:r>
    </w:p>
    <w:p w14:paraId="0B31B137" w14:textId="77777777" w:rsidR="00AA6603" w:rsidRPr="00413148" w:rsidRDefault="00AA6603" w:rsidP="000E5671"/>
    <w:p w14:paraId="0C684235" w14:textId="77777777" w:rsidR="00AA6603" w:rsidRPr="00413148" w:rsidRDefault="00AA6603" w:rsidP="000E5671">
      <w:r w:rsidRPr="00413148">
        <w:t>Employment activities should take place in integrated settings and employees with disabilities should not be segregated into particular facilities or parts of facilities, unless the segregated setting itself is part of a reasonable accommodation.</w:t>
      </w:r>
      <w:r w:rsidRPr="00413148">
        <w:rPr>
          <w:rStyle w:val="FootnoteReference"/>
        </w:rPr>
        <w:footnoteReference w:id="122"/>
      </w:r>
      <w:r w:rsidRPr="00413148">
        <w:t xml:space="preserve"> </w:t>
      </w:r>
    </w:p>
    <w:p w14:paraId="16C099B6" w14:textId="77777777" w:rsidR="00AA6603" w:rsidRPr="00413148" w:rsidRDefault="00AA6603" w:rsidP="000E5671"/>
    <w:p w14:paraId="75D5A644" w14:textId="5B7A7352" w:rsidR="00AA6603" w:rsidRPr="00413148" w:rsidRDefault="00AA6603" w:rsidP="000E5671">
      <w:r w:rsidRPr="00413148">
        <w:lastRenderedPageBreak/>
        <w:t>Individuals with speech disabilities or sensory disabilities</w:t>
      </w:r>
      <w:r w:rsidR="0060135E" w:rsidRPr="00413148">
        <w:t>,</w:t>
      </w:r>
      <w:r w:rsidRPr="00413148">
        <w:t xml:space="preserve"> such as those relating to vision or hearing, should be able to communicate effectively with others in the workspace. In some employment contexts, an interpreter, reader, or note-taker may be an effective accommodation for an employee. In other contexts, technology or equipment such as assistive listening systems and devices, screen-reader software, magnification software and optical readers, or other electronic and information technology that is accessible may enable more effective communication. In assessing accommodations, the employer should engage in a cooperative dialogue with the employee to assess their specific needs in relation to their job tasks.</w:t>
      </w:r>
    </w:p>
    <w:p w14:paraId="20588607" w14:textId="77777777" w:rsidR="00AA6603" w:rsidRPr="00413148" w:rsidRDefault="00AA6603" w:rsidP="000E5671"/>
    <w:p w14:paraId="7F1A6FD0" w14:textId="77777777" w:rsidR="00AF18B0" w:rsidRPr="00413148" w:rsidRDefault="00DD06CB" w:rsidP="00113630">
      <w:pPr>
        <w:pStyle w:val="Heading4"/>
        <w:numPr>
          <w:ilvl w:val="0"/>
          <w:numId w:val="7"/>
        </w:numPr>
        <w:spacing w:before="0" w:after="0"/>
        <w:ind w:left="1440" w:hanging="540"/>
        <w:rPr>
          <w:color w:val="4B0082"/>
        </w:rPr>
      </w:pPr>
      <w:r w:rsidRPr="00413148">
        <w:rPr>
          <w:b/>
          <w:bCs/>
          <w:color w:val="4B0082"/>
        </w:rPr>
        <w:t>Service Animals</w:t>
      </w:r>
    </w:p>
    <w:p w14:paraId="00B2A760" w14:textId="77777777" w:rsidR="00E224FA" w:rsidRPr="00413148" w:rsidRDefault="00E224FA" w:rsidP="000E5671"/>
    <w:p w14:paraId="34408463" w14:textId="4C9B665C" w:rsidR="00670F8C" w:rsidRPr="00413148" w:rsidRDefault="00670F8C" w:rsidP="000E5671">
      <w:r w:rsidRPr="00413148">
        <w:t xml:space="preserve">Service animals are not pets. </w:t>
      </w:r>
      <w:r w:rsidR="008A3714" w:rsidRPr="00413148">
        <w:t>A service animal is an animal that does work or performs tasks for an individual with a disability.</w:t>
      </w:r>
      <w:r w:rsidR="008A3714" w:rsidRPr="00413148">
        <w:rPr>
          <w:rStyle w:val="FootnoteReference"/>
        </w:rPr>
        <w:footnoteReference w:id="123"/>
      </w:r>
      <w:r w:rsidR="008A3714" w:rsidRPr="00413148">
        <w:t xml:space="preserve"> </w:t>
      </w:r>
      <w:r w:rsidRPr="00413148">
        <w:t xml:space="preserve">Employers are required to accommodate </w:t>
      </w:r>
      <w:r w:rsidR="00A42F49" w:rsidRPr="00413148">
        <w:t>applicants and employees</w:t>
      </w:r>
      <w:r w:rsidRPr="00413148">
        <w:t xml:space="preserve"> with disabilities who rely on service animals by providing exceptions to “no pet” or “no animal” policies. If </w:t>
      </w:r>
      <w:r w:rsidR="00E07CE6" w:rsidRPr="00413148">
        <w:t>an employer has</w:t>
      </w:r>
      <w:r w:rsidRPr="00413148">
        <w:t xml:space="preserve"> policies</w:t>
      </w:r>
      <w:r w:rsidR="001A5388" w:rsidRPr="00413148">
        <w:t xml:space="preserve"> prohibiting or restricting employees’ ability to bring animals to work,</w:t>
      </w:r>
      <w:r w:rsidRPr="00413148">
        <w:t xml:space="preserve"> exceptions to these policies are required </w:t>
      </w:r>
      <w:r w:rsidR="001A5388" w:rsidRPr="00413148">
        <w:t xml:space="preserve">if an </w:t>
      </w:r>
      <w:r w:rsidR="00A42F49" w:rsidRPr="00413148">
        <w:t>individual</w:t>
      </w:r>
      <w:r w:rsidR="001A5388" w:rsidRPr="00413148">
        <w:t xml:space="preserve"> brings, or requests to bring</w:t>
      </w:r>
      <w:r w:rsidR="00813DC7" w:rsidRPr="00413148">
        <w:t xml:space="preserve"> their service animal to the workplace due to a disability,</w:t>
      </w:r>
      <w:r w:rsidRPr="00413148">
        <w:t xml:space="preserve"> unless such exceptions would cause</w:t>
      </w:r>
      <w:r w:rsidR="00354191" w:rsidRPr="00413148">
        <w:t xml:space="preserve"> the employer</w:t>
      </w:r>
      <w:r w:rsidRPr="00413148">
        <w:t xml:space="preserve"> an undue hardship.</w:t>
      </w:r>
    </w:p>
    <w:p w14:paraId="2A238D54" w14:textId="77777777" w:rsidR="00670F8C" w:rsidRPr="00413148" w:rsidRDefault="00670F8C" w:rsidP="000E5671"/>
    <w:p w14:paraId="30F18E4F" w14:textId="55B3285E" w:rsidR="00670F8C" w:rsidRPr="00413148" w:rsidRDefault="00670F8C" w:rsidP="000E5671">
      <w:r w:rsidRPr="00413148">
        <w:t xml:space="preserve">The possibility of incidental property damage does not usually constitute an undue hardship. Where a particular animal creates legitimate health or safety concerns or creates a nuisance, the employer must engage in a cooperative dialogue with the </w:t>
      </w:r>
      <w:r w:rsidR="00937E97" w:rsidRPr="00413148">
        <w:t>individual</w:t>
      </w:r>
      <w:r w:rsidRPr="00413148">
        <w:t xml:space="preserve"> using the service animal to determine potential alternatives or pathways to address the legitimate concern before </w:t>
      </w:r>
      <w:r w:rsidR="69904E62" w:rsidRPr="00413148">
        <w:t>denying a service animal request</w:t>
      </w:r>
      <w:r w:rsidR="6E3E36CC" w:rsidRPr="00413148">
        <w:t>, removing</w:t>
      </w:r>
      <w:r w:rsidR="00F313FD" w:rsidRPr="00413148">
        <w:t xml:space="preserve"> </w:t>
      </w:r>
      <w:r w:rsidR="49170D25" w:rsidRPr="00413148">
        <w:t xml:space="preserve">the </w:t>
      </w:r>
      <w:r w:rsidRPr="00413148">
        <w:t>service animal</w:t>
      </w:r>
      <w:r w:rsidR="00F313FD" w:rsidRPr="00413148">
        <w:t>,</w:t>
      </w:r>
      <w:r w:rsidRPr="00413148">
        <w:t xml:space="preserve"> or taking other adverse </w:t>
      </w:r>
      <w:r w:rsidRPr="00413148">
        <w:lastRenderedPageBreak/>
        <w:t>action.</w:t>
      </w:r>
      <w:r w:rsidRPr="00413148">
        <w:rPr>
          <w:rStyle w:val="FootnoteReference"/>
        </w:rPr>
        <w:footnoteReference w:id="124"/>
      </w:r>
      <w:r w:rsidRPr="00413148">
        <w:t xml:space="preserve"> Where city, state, or federal laws prohibit ownership of certain animals and no exception</w:t>
      </w:r>
      <w:r w:rsidR="00C64FB5" w:rsidRPr="00413148">
        <w:t xml:space="preserve"> or waiver</w:t>
      </w:r>
      <w:r w:rsidRPr="00413148">
        <w:t xml:space="preserve"> is provided, it will be an undue hardship for a covered entity to permit a prohibited animal as a service animal.</w:t>
      </w:r>
      <w:r w:rsidRPr="00413148">
        <w:rPr>
          <w:rStyle w:val="FootnoteReference"/>
        </w:rPr>
        <w:footnoteReference w:id="125"/>
      </w:r>
    </w:p>
    <w:p w14:paraId="3DED286B" w14:textId="77777777" w:rsidR="00670F8C" w:rsidRPr="00413148" w:rsidRDefault="00670F8C" w:rsidP="000E5671"/>
    <w:p w14:paraId="4E3461CB" w14:textId="4AC3C5CF" w:rsidR="00670F8C" w:rsidRPr="00413148" w:rsidRDefault="00670F8C" w:rsidP="000E5671">
      <w:r w:rsidRPr="00413148">
        <w:t>When a</w:t>
      </w:r>
      <w:r w:rsidR="00C64FB5" w:rsidRPr="00413148">
        <w:t xml:space="preserve">n </w:t>
      </w:r>
      <w:r w:rsidR="00937E97" w:rsidRPr="00413148">
        <w:t>individual</w:t>
      </w:r>
      <w:r w:rsidRPr="00413148">
        <w:t xml:space="preserve"> seeks to have a service animal</w:t>
      </w:r>
      <w:r w:rsidR="00C64FB5" w:rsidRPr="00413148">
        <w:t xml:space="preserve"> with them at their workplace</w:t>
      </w:r>
      <w:r w:rsidRPr="00413148">
        <w:t xml:space="preserve">, and the person’s disability or the need for the service animal is not apparent, the </w:t>
      </w:r>
      <w:r w:rsidR="00FB7AC1" w:rsidRPr="00413148">
        <w:t>employer</w:t>
      </w:r>
      <w:r w:rsidRPr="00413148">
        <w:t xml:space="preserve"> may ask the </w:t>
      </w:r>
      <w:r w:rsidR="00FB7AC1" w:rsidRPr="00413148">
        <w:t>employee to</w:t>
      </w:r>
      <w:r w:rsidRPr="00413148">
        <w:t xml:space="preserve"> provide a statement from a health professional indicating: (1) that the person has a disability</w:t>
      </w:r>
      <w:r w:rsidR="00FB7AC1" w:rsidRPr="00413148">
        <w:t>, but the employer should note that the employee is not required to reveal their specific medical diagnosis</w:t>
      </w:r>
      <w:r w:rsidRPr="00413148">
        <w:t>; and (2) that the service animal is trained to perform tasks that ameliorate one or more symptoms or effects of the</w:t>
      </w:r>
      <w:r w:rsidR="00113298" w:rsidRPr="00413148">
        <w:t xml:space="preserve"> employee’s</w:t>
      </w:r>
      <w:r w:rsidRPr="00413148">
        <w:t xml:space="preserve"> disability.</w:t>
      </w:r>
      <w:r w:rsidRPr="00413148">
        <w:rPr>
          <w:rStyle w:val="CommentReference"/>
          <w:rFonts w:ascii="Verdana" w:hAnsi="Verdana" w:cs="Tahoma"/>
          <w:sz w:val="24"/>
          <w:szCs w:val="24"/>
        </w:rPr>
        <w:t xml:space="preserve"> </w:t>
      </w:r>
      <w:r w:rsidRPr="00413148">
        <w:t xml:space="preserve">If an </w:t>
      </w:r>
      <w:r w:rsidR="00113298" w:rsidRPr="00413148">
        <w:t>employee</w:t>
      </w:r>
      <w:r w:rsidRPr="00413148">
        <w:t xml:space="preserve"> requests to use or bring a service animal as an accommodation, and if both the </w:t>
      </w:r>
      <w:r w:rsidR="00113298" w:rsidRPr="00413148">
        <w:t>employee</w:t>
      </w:r>
      <w:r w:rsidRPr="00413148">
        <w:t xml:space="preserve">’s disability and the need for the requested animal are apparent or otherwise known to the </w:t>
      </w:r>
      <w:r w:rsidR="00113298" w:rsidRPr="00413148">
        <w:t>employer</w:t>
      </w:r>
      <w:r w:rsidRPr="00413148">
        <w:t xml:space="preserve">, the </w:t>
      </w:r>
      <w:r w:rsidR="00113298" w:rsidRPr="00413148">
        <w:t>employer e</w:t>
      </w:r>
      <w:r w:rsidRPr="00413148">
        <w:t xml:space="preserve">ntity may not inquire about the </w:t>
      </w:r>
      <w:r w:rsidR="00EE019F" w:rsidRPr="00413148">
        <w:t>employee</w:t>
      </w:r>
      <w:r w:rsidRPr="00413148">
        <w:t xml:space="preserve">’s </w:t>
      </w:r>
      <w:r w:rsidRPr="00413148">
        <w:lastRenderedPageBreak/>
        <w:t>disability or need for the service animal.</w:t>
      </w:r>
      <w:r w:rsidR="005E4DB6" w:rsidRPr="00413148">
        <w:rPr>
          <w:rStyle w:val="FootnoteReference"/>
        </w:rPr>
        <w:footnoteReference w:id="126"/>
      </w:r>
      <w:r w:rsidRPr="00413148">
        <w:t xml:space="preserve"> For example, if an </w:t>
      </w:r>
      <w:r w:rsidR="00300196" w:rsidRPr="00413148">
        <w:t>individual</w:t>
      </w:r>
      <w:r w:rsidRPr="00413148">
        <w:t xml:space="preserve"> who is blind requests an accommodation for the service animal who guides them, employers may not inquire about the </w:t>
      </w:r>
      <w:r w:rsidR="00300196" w:rsidRPr="00413148">
        <w:t>individual</w:t>
      </w:r>
      <w:r w:rsidRPr="00413148">
        <w:t>’s disability</w:t>
      </w:r>
      <w:r w:rsidR="00BD4038" w:rsidRPr="00413148">
        <w:t>,</w:t>
      </w:r>
      <w:r w:rsidRPr="00413148">
        <w:t xml:space="preserve"> the animal’s training</w:t>
      </w:r>
      <w:r w:rsidR="00BD4038" w:rsidRPr="00413148">
        <w:t>,</w:t>
      </w:r>
      <w:r w:rsidRPr="00413148">
        <w:t xml:space="preserve"> require medical documentation to justify the need for the service animal</w:t>
      </w:r>
      <w:r w:rsidR="00BD4038" w:rsidRPr="00413148">
        <w:t xml:space="preserve">, or require that the </w:t>
      </w:r>
      <w:r w:rsidR="00300196" w:rsidRPr="00413148">
        <w:t>individual</w:t>
      </w:r>
      <w:r w:rsidR="00BD4038" w:rsidRPr="00413148">
        <w:t xml:space="preserve"> have the service animal demonstrate t</w:t>
      </w:r>
      <w:r w:rsidR="00374632" w:rsidRPr="00413148">
        <w:t>he tasks it is trained to perform</w:t>
      </w:r>
      <w:r w:rsidRPr="00413148">
        <w:t>.</w:t>
      </w:r>
    </w:p>
    <w:p w14:paraId="4A98892E" w14:textId="77777777" w:rsidR="00670F8C" w:rsidRPr="00413148" w:rsidRDefault="00670F8C" w:rsidP="000E5671"/>
    <w:p w14:paraId="58D37AC8" w14:textId="77777777" w:rsidR="00670F8C" w:rsidRPr="00413148" w:rsidRDefault="00374632" w:rsidP="000E5671">
      <w:r w:rsidRPr="00413148">
        <w:t>E</w:t>
      </w:r>
      <w:r w:rsidR="00670F8C" w:rsidRPr="00413148">
        <w:t xml:space="preserve">mployers may not require individuals to provide medical records or details of a disability beyond what is </w:t>
      </w:r>
      <w:r w:rsidR="00967BFD" w:rsidRPr="00413148">
        <w:t>necessary</w:t>
      </w:r>
      <w:r w:rsidR="00670F8C" w:rsidRPr="00413148">
        <w:t xml:space="preserve"> to demonstrate the existence of a disability and the relationship between the disability and the requested accommodation.</w:t>
      </w:r>
      <w:r w:rsidRPr="00413148">
        <w:t xml:space="preserve"> </w:t>
      </w:r>
    </w:p>
    <w:p w14:paraId="441A3907" w14:textId="77777777" w:rsidR="00DD06CB" w:rsidRPr="00413148" w:rsidRDefault="00DD06CB" w:rsidP="000E5671"/>
    <w:p w14:paraId="3D0A8A60" w14:textId="77777777" w:rsidR="00AA6603" w:rsidRPr="00413148" w:rsidRDefault="00AA6603" w:rsidP="00113630">
      <w:pPr>
        <w:pStyle w:val="Heading4"/>
        <w:numPr>
          <w:ilvl w:val="0"/>
          <w:numId w:val="7"/>
        </w:numPr>
        <w:spacing w:before="0" w:after="0"/>
        <w:ind w:left="1440" w:hanging="540"/>
        <w:rPr>
          <w:rFonts w:cs="Arial"/>
          <w:color w:val="4B0082"/>
        </w:rPr>
      </w:pPr>
      <w:r w:rsidRPr="00413148">
        <w:rPr>
          <w:rFonts w:cs="Arial"/>
          <w:b/>
          <w:bCs/>
          <w:color w:val="4B0082"/>
        </w:rPr>
        <w:t xml:space="preserve">Work Structuring or Reassignment </w:t>
      </w:r>
    </w:p>
    <w:p w14:paraId="586B4DA1" w14:textId="77777777" w:rsidR="00AA6603" w:rsidRPr="00413148" w:rsidRDefault="00AA6603" w:rsidP="000E5671"/>
    <w:p w14:paraId="278E01A4" w14:textId="77777777" w:rsidR="00AA6603" w:rsidRPr="00413148" w:rsidRDefault="29427DEA" w:rsidP="000E5671">
      <w:r w:rsidRPr="00413148">
        <w:t xml:space="preserve">Job restructuring may be a reasonable accommodation for an employee with a disability and may involve reallocating or redistributing </w:t>
      </w:r>
      <w:r w:rsidR="00D71EB4" w:rsidRPr="00413148">
        <w:t>one or more</w:t>
      </w:r>
      <w:r w:rsidRPr="00413148">
        <w:t xml:space="preserve"> non-essential job</w:t>
      </w:r>
      <w:r w:rsidR="67FFF832" w:rsidRPr="00413148">
        <w:t xml:space="preserve"> duties</w:t>
      </w:r>
      <w:r w:rsidRPr="00413148">
        <w:t xml:space="preserve">. For example, an employer may reassign work at an office among coworkers, eliminate non-essential tasks, reassign visits to accessible sites, or </w:t>
      </w:r>
      <w:r w:rsidR="00595DE1" w:rsidRPr="00413148">
        <w:t>permit</w:t>
      </w:r>
      <w:r w:rsidRPr="00413148">
        <w:t xml:space="preserve"> work</w:t>
      </w:r>
      <w:r w:rsidR="00595DE1" w:rsidRPr="00413148">
        <w:t>ing</w:t>
      </w:r>
      <w:r w:rsidRPr="00413148">
        <w:t xml:space="preserve"> </w:t>
      </w:r>
      <w:r w:rsidR="00AC5DC9" w:rsidRPr="00413148">
        <w:t>outside</w:t>
      </w:r>
      <w:r w:rsidRPr="00413148">
        <w:t xml:space="preserve"> the traditional office setting.</w:t>
      </w:r>
    </w:p>
    <w:p w14:paraId="0DE1B67D" w14:textId="77777777" w:rsidR="00AA6603" w:rsidRPr="00413148" w:rsidRDefault="00AA6603" w:rsidP="000E5671"/>
    <w:p w14:paraId="27229EF2" w14:textId="77777777" w:rsidR="00AA6603" w:rsidRPr="00413148" w:rsidRDefault="02FF5BDD" w:rsidP="000E5671">
      <w:r w:rsidRPr="00413148">
        <w:t>If an employee develops their disability after being on the job and can no longer perform some or all of the essential requisites of the job, an employer must consider reassignment</w:t>
      </w:r>
      <w:r w:rsidR="2B4DEF5B" w:rsidRPr="00413148">
        <w:t xml:space="preserve"> of the</w:t>
      </w:r>
      <w:r w:rsidRPr="00413148">
        <w:rPr>
          <w:rStyle w:val="CommentReference"/>
          <w:rFonts w:ascii="Verdana" w:hAnsi="Verdana" w:cs="Tahoma"/>
          <w:sz w:val="24"/>
          <w:szCs w:val="24"/>
        </w:rPr>
        <w:t xml:space="preserve"> </w:t>
      </w:r>
      <w:r w:rsidRPr="00413148">
        <w:t xml:space="preserve">employee to a vacant </w:t>
      </w:r>
      <w:r w:rsidRPr="00413148">
        <w:lastRenderedPageBreak/>
        <w:t>position within the organization, if doing so does not constitute an undue hardship.</w:t>
      </w:r>
      <w:r w:rsidR="00AA6603" w:rsidRPr="00413148">
        <w:rPr>
          <w:rStyle w:val="FootnoteReference"/>
        </w:rPr>
        <w:footnoteReference w:id="127"/>
      </w:r>
    </w:p>
    <w:p w14:paraId="19471124" w14:textId="77777777" w:rsidR="00E768C4" w:rsidRPr="00413148" w:rsidRDefault="00E768C4" w:rsidP="00E768C4"/>
    <w:p w14:paraId="6E9F71C0" w14:textId="77777777" w:rsidR="00AA6603" w:rsidRPr="00413148" w:rsidRDefault="00AA6603" w:rsidP="00113630">
      <w:pPr>
        <w:pStyle w:val="Heading4"/>
        <w:numPr>
          <w:ilvl w:val="0"/>
          <w:numId w:val="7"/>
        </w:numPr>
        <w:spacing w:before="0" w:after="0"/>
        <w:ind w:left="1440" w:hanging="540"/>
        <w:rPr>
          <w:rFonts w:cs="Arial"/>
          <w:color w:val="4B0082"/>
        </w:rPr>
      </w:pPr>
      <w:r w:rsidRPr="00413148">
        <w:rPr>
          <w:rFonts w:cs="Arial"/>
          <w:b/>
          <w:bCs/>
          <w:color w:val="4B0082"/>
        </w:rPr>
        <w:t xml:space="preserve">Leave, Scheduling, and Remote Work </w:t>
      </w:r>
    </w:p>
    <w:p w14:paraId="75DBD50C" w14:textId="77777777" w:rsidR="00AA6603" w:rsidRPr="00413148" w:rsidRDefault="00AA6603" w:rsidP="000E5671"/>
    <w:p w14:paraId="0D8928C5" w14:textId="77777777" w:rsidR="00AA6603" w:rsidRPr="00413148" w:rsidRDefault="02FF5BDD" w:rsidP="000E5671">
      <w:r w:rsidRPr="00413148">
        <w:t xml:space="preserve">One type of reasonable accommodation for an employee’s disability is allowing the use of accrued paid leave or unpaid leave so that the employee can return to work after the leave period and resume performing the essential requisites of the job. In some circumstances, it may be an accommodation of last resort, or it may be the only or </w:t>
      </w:r>
      <w:r w:rsidR="767A4E2F" w:rsidRPr="00413148">
        <w:t xml:space="preserve">best </w:t>
      </w:r>
      <w:r w:rsidRPr="00413148">
        <w:t>option for the employee</w:t>
      </w:r>
      <w:r w:rsidR="2690591B" w:rsidRPr="00413148">
        <w:t>’s needs</w:t>
      </w:r>
      <w:r w:rsidRPr="00413148">
        <w:t xml:space="preserve">. Employers should allow employees to exhaust accrued paid leave first and then provide unpaid leave. Leave related to an employee’s disability or as an accommodation for </w:t>
      </w:r>
      <w:r w:rsidR="4856C464" w:rsidRPr="00413148">
        <w:t>a</w:t>
      </w:r>
      <w:r w:rsidRPr="00413148">
        <w:t xml:space="preserve"> disability must be administered consistently with policies for other forms of leave (including whether benefits are continued beyond any other statutory requirements to maintain benefits) that do not treat individuals with disabilities differently than other employees on leave. </w:t>
      </w:r>
    </w:p>
    <w:p w14:paraId="61EDC756" w14:textId="77777777" w:rsidR="2BF936FA" w:rsidRPr="00413148" w:rsidRDefault="2BF936FA" w:rsidP="000E5671"/>
    <w:p w14:paraId="2E55FC54" w14:textId="32DF8AE9" w:rsidR="00AA3197" w:rsidRPr="00413148" w:rsidRDefault="00AA6603" w:rsidP="000E5671">
      <w:r w:rsidRPr="00413148">
        <w:t xml:space="preserve">In some circumstances when </w:t>
      </w:r>
      <w:proofErr w:type="gramStart"/>
      <w:r w:rsidRPr="00413148">
        <w:t>an employee requests</w:t>
      </w:r>
      <w:proofErr w:type="gramEnd"/>
      <w:r w:rsidRPr="00413148">
        <w:t xml:space="preserve"> leave as </w:t>
      </w:r>
      <w:proofErr w:type="gramStart"/>
      <w:r w:rsidRPr="00413148">
        <w:t>a reasonable</w:t>
      </w:r>
      <w:proofErr w:type="gramEnd"/>
      <w:r w:rsidRPr="00413148">
        <w:t xml:space="preserve"> accommodation, the employee, or the employee’s </w:t>
      </w:r>
      <w:r w:rsidR="003B0478" w:rsidRPr="00413148">
        <w:t>health professional</w:t>
      </w:r>
      <w:r w:rsidRPr="00413148">
        <w:t xml:space="preserve">, may be able to provide a definitive date on which the employee can return to work. In some instances, however, only an approximate date or range of dates can be provided. A projected return date or range of return dates may need to be modified to account for any change in circumstances that occurs, such as when </w:t>
      </w:r>
      <w:r w:rsidRPr="00413148">
        <w:lastRenderedPageBreak/>
        <w:t>an employee’s recovery takes longer than expected. In order to determine if such accommodations, or subsequent adjustments, cause an undue hardship, they must be evaluated on a case-by-case basis.</w:t>
      </w:r>
      <w:r w:rsidRPr="00413148">
        <w:rPr>
          <w:rStyle w:val="FootnoteReference"/>
        </w:rPr>
        <w:footnoteReference w:id="128"/>
      </w:r>
      <w:r w:rsidRPr="00413148">
        <w:t xml:space="preserve"> </w:t>
      </w:r>
    </w:p>
    <w:p w14:paraId="0210FF12" w14:textId="77777777" w:rsidR="000E5671" w:rsidRPr="00413148" w:rsidRDefault="000E5671" w:rsidP="000E5671"/>
    <w:p w14:paraId="33BDE9EC" w14:textId="2672C660" w:rsidR="00AA6603" w:rsidRPr="00413148" w:rsidRDefault="00AA6603" w:rsidP="000E5671">
      <w:r w:rsidRPr="00413148">
        <w:t xml:space="preserve">Leave as </w:t>
      </w:r>
      <w:proofErr w:type="gramStart"/>
      <w:r w:rsidRPr="00413148">
        <w:t>a reasonable</w:t>
      </w:r>
      <w:proofErr w:type="gramEnd"/>
      <w:r w:rsidRPr="00413148">
        <w:t xml:space="preserve"> accommodation includes the employee’s right to return to </w:t>
      </w:r>
      <w:r w:rsidR="00C016E1" w:rsidRPr="00413148">
        <w:t>their</w:t>
      </w:r>
      <w:r w:rsidRPr="00413148">
        <w:t xml:space="preserve"> original position in circumstances </w:t>
      </w:r>
      <w:proofErr w:type="gramStart"/>
      <w:r w:rsidRPr="00413148">
        <w:t>where</w:t>
      </w:r>
      <w:proofErr w:type="gramEnd"/>
      <w:r w:rsidRPr="00413148">
        <w:t xml:space="preserve"> keeping that job open for the employee does not </w:t>
      </w:r>
      <w:r w:rsidR="7DFB3CDB" w:rsidRPr="00413148">
        <w:t xml:space="preserve">cause </w:t>
      </w:r>
      <w:proofErr w:type="gramStart"/>
      <w:r w:rsidR="7DFB3CDB" w:rsidRPr="00413148">
        <w:t>an</w:t>
      </w:r>
      <w:r w:rsidRPr="00413148">
        <w:t xml:space="preserve"> undue</w:t>
      </w:r>
      <w:proofErr w:type="gramEnd"/>
      <w:r w:rsidRPr="00413148">
        <w:t xml:space="preserve"> hardship. In many instances, an employer can reassign work tasks, schedule additional workers to cover shifts, or hire a temporary or part-time employee on an interim basis to minimize any hardship. However, if an employer determines that holding </w:t>
      </w:r>
      <w:r w:rsidR="005C0986" w:rsidRPr="00413148">
        <w:t xml:space="preserve">open </w:t>
      </w:r>
      <w:r w:rsidRPr="00413148">
        <w:t xml:space="preserve">the </w:t>
      </w:r>
      <w:r w:rsidR="005C0986" w:rsidRPr="00413148">
        <w:t>position</w:t>
      </w:r>
      <w:r w:rsidRPr="00413148">
        <w:t xml:space="preserve"> for the employee on leave will cause an undue hardship, then </w:t>
      </w:r>
      <w:r w:rsidR="004C2D34" w:rsidRPr="00413148">
        <w:t>the employer</w:t>
      </w:r>
      <w:r w:rsidRPr="00413148">
        <w:t xml:space="preserve"> must consider whether there are alternatives that permit the employee to complete the leave and return to work in a different position.</w:t>
      </w:r>
    </w:p>
    <w:p w14:paraId="17C3E08C" w14:textId="77777777" w:rsidR="00AA6603" w:rsidRPr="00413148" w:rsidRDefault="00AA6603" w:rsidP="000E5671"/>
    <w:p w14:paraId="508A1E38" w14:textId="77777777" w:rsidR="00AA6603" w:rsidRPr="00413148" w:rsidRDefault="29427DEA" w:rsidP="000E5671">
      <w:r w:rsidRPr="00413148">
        <w:t xml:space="preserve">Another type of reasonable accommodation is allowing a change in an employee’s regular work schedule or </w:t>
      </w:r>
      <w:r w:rsidR="00DE56B9" w:rsidRPr="00413148">
        <w:t xml:space="preserve">working with the employee to </w:t>
      </w:r>
      <w:r w:rsidR="00204686" w:rsidRPr="00413148">
        <w:t>identify</w:t>
      </w:r>
      <w:r w:rsidR="001E02CB" w:rsidRPr="00413148">
        <w:t xml:space="preserve"> potential</w:t>
      </w:r>
      <w:r w:rsidRPr="00413148">
        <w:t xml:space="preserve"> flexible leave </w:t>
      </w:r>
      <w:r w:rsidR="00204686" w:rsidRPr="00413148">
        <w:t>options for them</w:t>
      </w:r>
      <w:r w:rsidRPr="00413148">
        <w:t xml:space="preserve">. A flexible work schedule may also be a reasonable accommodation for an employee’s disability, allowing an employee to vary their arrival or departure times or take extended lunch breaks to make medical appointments. </w:t>
      </w:r>
    </w:p>
    <w:p w14:paraId="5DB62F7F" w14:textId="77777777" w:rsidR="00AA6603" w:rsidRPr="00413148" w:rsidRDefault="00AA6603" w:rsidP="000E5671"/>
    <w:p w14:paraId="3148FD38" w14:textId="701A338D" w:rsidR="00AA6603" w:rsidRPr="00413148" w:rsidRDefault="02FF5BDD" w:rsidP="000E5671">
      <w:r w:rsidRPr="00413148">
        <w:t xml:space="preserve">Additionally, allowing an employee to work </w:t>
      </w:r>
      <w:r w:rsidR="52E97CFC" w:rsidRPr="00413148">
        <w:t>remotely</w:t>
      </w:r>
      <w:r w:rsidRPr="00413148">
        <w:t xml:space="preserve"> may be a reasonable accommodation for an employee with a disability. While many employers rely on policies that require employees to “earn the privilege” of working </w:t>
      </w:r>
      <w:r w:rsidR="0007661A" w:rsidRPr="00413148">
        <w:t>remotely</w:t>
      </w:r>
      <w:r w:rsidRPr="00413148">
        <w:t xml:space="preserve"> or create blanket prohibitions on working</w:t>
      </w:r>
      <w:r w:rsidR="0007661A" w:rsidRPr="00413148">
        <w:t xml:space="preserve"> remotely</w:t>
      </w:r>
      <w:r w:rsidRPr="00413148">
        <w:t xml:space="preserve">, if an employee requests to work </w:t>
      </w:r>
      <w:r w:rsidR="0007661A" w:rsidRPr="00413148">
        <w:t>remotely</w:t>
      </w:r>
      <w:r w:rsidRPr="00413148">
        <w:t xml:space="preserve"> as an </w:t>
      </w:r>
      <w:r w:rsidRPr="00413148">
        <w:lastRenderedPageBreak/>
        <w:t xml:space="preserve">accommodation, the employer cannot rely on such policies and must instead </w:t>
      </w:r>
      <w:r w:rsidR="00E7159A" w:rsidRPr="00413148">
        <w:t xml:space="preserve">engage in a cooperative dialogue </w:t>
      </w:r>
      <w:r w:rsidR="003F310D" w:rsidRPr="00413148">
        <w:t xml:space="preserve">and </w:t>
      </w:r>
      <w:r w:rsidRPr="00413148">
        <w:t xml:space="preserve">do an individualized analysis of the employee’s </w:t>
      </w:r>
      <w:r w:rsidR="56D0C8ED" w:rsidRPr="00413148">
        <w:t xml:space="preserve">specific </w:t>
      </w:r>
      <w:r w:rsidRPr="00413148">
        <w:t xml:space="preserve">work tasks to see whether the employee can perform them </w:t>
      </w:r>
      <w:r w:rsidR="0007661A" w:rsidRPr="00413148">
        <w:t>remotely</w:t>
      </w:r>
      <w:r w:rsidRPr="00413148">
        <w:t xml:space="preserve"> </w:t>
      </w:r>
      <w:r w:rsidR="0C5F85A6" w:rsidRPr="00413148">
        <w:t>as requested</w:t>
      </w:r>
      <w:r w:rsidR="00C146D5" w:rsidRPr="00413148">
        <w:t>,</w:t>
      </w:r>
      <w:r w:rsidR="008C2152" w:rsidRPr="00413148">
        <w:t xml:space="preserve"> or if</w:t>
      </w:r>
      <w:r w:rsidR="00C146D5" w:rsidRPr="00413148">
        <w:t xml:space="preserve"> other accommodations exist that might address the employee’s needs</w:t>
      </w:r>
      <w:r w:rsidRPr="00413148">
        <w:t>. The mere fact that the employee would be working outside of the physical office space some or all of the time during a given period generally will not be</w:t>
      </w:r>
      <w:r w:rsidRPr="00413148" w:rsidDel="006972DB">
        <w:t xml:space="preserve"> </w:t>
      </w:r>
      <w:r w:rsidRPr="00413148">
        <w:t xml:space="preserve">sufficient to support an undue hardship defense. Employers must be able to show why that particular employee’s absence from the physical office, in relation to the essential duties or tasks of their position, would constitute an undue </w:t>
      </w:r>
      <w:r w:rsidR="00422128" w:rsidRPr="00413148">
        <w:t>hardship</w:t>
      </w:r>
      <w:r w:rsidR="00F12C69" w:rsidRPr="00413148">
        <w:t>, or that the employer has offered a different accommodation that would meet the employee’s need</w:t>
      </w:r>
      <w:r w:rsidR="00EA0A11" w:rsidRPr="00413148">
        <w:t>s</w:t>
      </w:r>
      <w:r w:rsidRPr="00413148">
        <w:t xml:space="preserve">. </w:t>
      </w:r>
      <w:r w:rsidR="30B06B5E" w:rsidRPr="00413148">
        <w:t>E</w:t>
      </w:r>
      <w:r w:rsidRPr="00413148">
        <w:t xml:space="preserve">mployers </w:t>
      </w:r>
      <w:r w:rsidR="6048FD02" w:rsidRPr="00413148">
        <w:t xml:space="preserve">may place some parameters on remote </w:t>
      </w:r>
      <w:r w:rsidR="006972DB" w:rsidRPr="00413148">
        <w:t xml:space="preserve">work </w:t>
      </w:r>
      <w:r w:rsidR="6048FD02" w:rsidRPr="00413148">
        <w:t>accommodations such as documentation of hours or task</w:t>
      </w:r>
      <w:r w:rsidR="006972DB" w:rsidRPr="00413148">
        <w:t>s</w:t>
      </w:r>
      <w:r w:rsidR="6048FD02" w:rsidRPr="00413148">
        <w:t xml:space="preserve"> completed. Employers </w:t>
      </w:r>
      <w:r w:rsidRPr="00413148">
        <w:t xml:space="preserve">are </w:t>
      </w:r>
      <w:r w:rsidR="273CAAC1" w:rsidRPr="00413148">
        <w:t xml:space="preserve">also </w:t>
      </w:r>
      <w:r w:rsidRPr="00413148">
        <w:t>permitted to approve remote work as an accommodation for a specific period of time and require the employee with the remote work accommodation to make new or supplemental requests on a periodic basis to reevaluate the employee’s needs</w:t>
      </w:r>
      <w:r w:rsidR="00D92DC7" w:rsidRPr="00413148">
        <w:t>,</w:t>
      </w:r>
      <w:r w:rsidRPr="00413148">
        <w:t xml:space="preserve"> </w:t>
      </w:r>
      <w:r w:rsidR="001A3175" w:rsidRPr="00413148">
        <w:t xml:space="preserve">the position, </w:t>
      </w:r>
      <w:r w:rsidR="006C5AC2" w:rsidRPr="00413148">
        <w:t>and the employer’s circumstances.</w:t>
      </w:r>
    </w:p>
    <w:p w14:paraId="58271E44" w14:textId="77777777" w:rsidR="00AA6603" w:rsidRPr="00413148" w:rsidRDefault="00AA6603" w:rsidP="000E5671"/>
    <w:p w14:paraId="6FC0F722" w14:textId="4F4F3010" w:rsidR="00790BE1" w:rsidRPr="00413148" w:rsidRDefault="00814CC5" w:rsidP="00190794">
      <w:pPr>
        <w:pStyle w:val="Heading3"/>
        <w:numPr>
          <w:ilvl w:val="0"/>
          <w:numId w:val="38"/>
        </w:numPr>
        <w:spacing w:before="0" w:after="0"/>
        <w:ind w:left="900" w:hanging="360"/>
        <w:jc w:val="both"/>
        <w:rPr>
          <w:rFonts w:cs="Arial"/>
          <w:b/>
          <w:bCs/>
          <w:color w:val="4B0082"/>
          <w:sz w:val="32"/>
          <w:szCs w:val="32"/>
        </w:rPr>
      </w:pPr>
      <w:r>
        <w:rPr>
          <w:rFonts w:cs="Arial"/>
          <w:b/>
          <w:bCs/>
          <w:color w:val="4B0082"/>
          <w:sz w:val="32"/>
          <w:szCs w:val="32"/>
        </w:rPr>
        <w:t xml:space="preserve"> </w:t>
      </w:r>
      <w:bookmarkStart w:id="32" w:name="_Toc218083752"/>
      <w:r w:rsidR="00790BE1" w:rsidRPr="00413148">
        <w:rPr>
          <w:rFonts w:cs="Arial"/>
          <w:b/>
          <w:bCs/>
          <w:color w:val="4B0082"/>
          <w:sz w:val="32"/>
          <w:szCs w:val="32"/>
        </w:rPr>
        <w:t>Defenses to a Claim of Failure to Provide Reasonable Accommodations in Employment</w:t>
      </w:r>
      <w:bookmarkEnd w:id="32"/>
    </w:p>
    <w:p w14:paraId="58D5CAC9" w14:textId="77777777" w:rsidR="00790BE1" w:rsidRPr="00413148" w:rsidRDefault="00790BE1" w:rsidP="000E5671"/>
    <w:p w14:paraId="1CD16F8B" w14:textId="3F0ACD39" w:rsidR="00790BE1" w:rsidRPr="00413148" w:rsidRDefault="00790BE1" w:rsidP="00536D17">
      <w:r w:rsidRPr="00413148">
        <w:t xml:space="preserve">If a covered employer fails to provide an accommodation, it may defend its decision by asserting that there is no accommodation available that will meet the needs of the individual with the disability that does not pose an undue hardship, or that </w:t>
      </w:r>
      <w:r w:rsidR="00E94DFB" w:rsidRPr="00413148">
        <w:t xml:space="preserve">will </w:t>
      </w:r>
      <w:r w:rsidRPr="00413148">
        <w:t>allow the employee to perform the essential functions of the job. It is not a defense to a</w:t>
      </w:r>
      <w:r w:rsidR="009068E4">
        <w:t xml:space="preserve"> claim of failing to provide a</w:t>
      </w:r>
      <w:r w:rsidRPr="00413148">
        <w:t xml:space="preserve"> reasonable accommodation that the covered entity engaged in a cooperative dialogue.</w:t>
      </w:r>
      <w:r w:rsidRPr="00413148">
        <w:rPr>
          <w:rStyle w:val="FootnoteReference"/>
        </w:rPr>
        <w:footnoteReference w:id="129"/>
      </w:r>
      <w:r w:rsidRPr="00413148">
        <w:t xml:space="preserve"> </w:t>
      </w:r>
    </w:p>
    <w:p w14:paraId="29B0D7E7" w14:textId="77777777" w:rsidR="00790BE1" w:rsidRPr="00413148" w:rsidRDefault="00790BE1" w:rsidP="00536D17"/>
    <w:p w14:paraId="0057796F" w14:textId="747583AC" w:rsidR="00790BE1" w:rsidRPr="00413148" w:rsidRDefault="00790BE1" w:rsidP="00113630">
      <w:pPr>
        <w:pStyle w:val="Heading4"/>
        <w:numPr>
          <w:ilvl w:val="0"/>
          <w:numId w:val="8"/>
        </w:numPr>
        <w:ind w:left="1440" w:hanging="540"/>
        <w:rPr>
          <w:rFonts w:cs="Arial"/>
          <w:color w:val="4B0082"/>
        </w:rPr>
      </w:pPr>
      <w:r w:rsidRPr="00413148">
        <w:rPr>
          <w:rFonts w:cs="Arial"/>
          <w:b/>
          <w:bCs/>
          <w:color w:val="4B0082"/>
        </w:rPr>
        <w:lastRenderedPageBreak/>
        <w:t>Undue Hardship</w:t>
      </w:r>
    </w:p>
    <w:p w14:paraId="36DA59DD" w14:textId="77777777" w:rsidR="00790BE1" w:rsidRPr="00190794" w:rsidRDefault="00790BE1" w:rsidP="00536D17">
      <w:pPr>
        <w:rPr>
          <w:bCs/>
          <w:iCs/>
        </w:rPr>
      </w:pPr>
    </w:p>
    <w:p w14:paraId="71B63226" w14:textId="77777777" w:rsidR="00790BE1" w:rsidRPr="00413148" w:rsidRDefault="00790BE1" w:rsidP="00C956FD">
      <w:r w:rsidRPr="00413148">
        <w:t xml:space="preserve">All accommodations are presumed reasonable unless the covered employer shows that they </w:t>
      </w:r>
      <w:r w:rsidR="009A34BE" w:rsidRPr="00413148">
        <w:t xml:space="preserve">cause </w:t>
      </w:r>
      <w:r w:rsidRPr="00413148">
        <w:t>an undue hardship.</w:t>
      </w:r>
      <w:r w:rsidRPr="00413148">
        <w:rPr>
          <w:rStyle w:val="FootnoteReference"/>
        </w:rPr>
        <w:footnoteReference w:id="130"/>
      </w:r>
      <w:r w:rsidRPr="00413148">
        <w:t xml:space="preserve"> The covered employer has the burden to prove undue hardship by showing that an accommodation which does not pose an undue hardship is unavailable.</w:t>
      </w:r>
      <w:r w:rsidRPr="00413148">
        <w:rPr>
          <w:rStyle w:val="FootnoteReference"/>
        </w:rPr>
        <w:footnoteReference w:id="131"/>
      </w:r>
      <w:r w:rsidRPr="00413148">
        <w:t xml:space="preserve"> Evidence of undue hardship is assessed by a preponderance of the evidence standard.</w:t>
      </w:r>
      <w:r w:rsidRPr="00413148">
        <w:rPr>
          <w:rStyle w:val="FootnoteReference"/>
        </w:rPr>
        <w:footnoteReference w:id="132"/>
      </w:r>
      <w:r w:rsidRPr="00413148">
        <w:t xml:space="preserve"> </w:t>
      </w:r>
    </w:p>
    <w:p w14:paraId="75AED33D" w14:textId="77777777" w:rsidR="00790BE1" w:rsidRPr="00413148" w:rsidRDefault="00790BE1" w:rsidP="00536D17"/>
    <w:p w14:paraId="4EEAB9AE" w14:textId="77777777" w:rsidR="00790BE1" w:rsidRPr="00413148" w:rsidRDefault="00790BE1" w:rsidP="00536D17">
      <w:r w:rsidRPr="00413148">
        <w:t xml:space="preserve">There is no accommodation—whether indefinite leave, </w:t>
      </w:r>
      <w:r w:rsidR="006A5740" w:rsidRPr="00413148">
        <w:t xml:space="preserve">workstation or workplace </w:t>
      </w:r>
      <w:r w:rsidRPr="00413148">
        <w:t>changes, or providing specific equipment—that is categorically excluded from the universe of reasonable accommodations under the NYCHRL because a covered employer must assess on a case-by-case basis whether a particular accommodation would cause undue hardship.</w:t>
      </w:r>
      <w:r w:rsidRPr="00413148">
        <w:rPr>
          <w:rStyle w:val="FootnoteReference"/>
        </w:rPr>
        <w:footnoteReference w:id="133"/>
      </w:r>
    </w:p>
    <w:p w14:paraId="1DE21F0E" w14:textId="77777777" w:rsidR="00790BE1" w:rsidRPr="00413148" w:rsidRDefault="00790BE1" w:rsidP="00536D17"/>
    <w:p w14:paraId="06CE2392" w14:textId="77777777" w:rsidR="00790BE1" w:rsidRPr="00413148" w:rsidRDefault="00790BE1" w:rsidP="00536D17">
      <w:r w:rsidRPr="00413148">
        <w:t xml:space="preserve">In </w:t>
      </w:r>
      <w:proofErr w:type="gramStart"/>
      <w:r w:rsidRPr="00413148">
        <w:t>making a determination</w:t>
      </w:r>
      <w:proofErr w:type="gramEnd"/>
      <w:r w:rsidRPr="00413148">
        <w:t xml:space="preserve"> of undue hardship in employment, the NYCHRL sets forth the following non-exhaustive list of factors:</w:t>
      </w:r>
    </w:p>
    <w:p w14:paraId="5F750386" w14:textId="77777777" w:rsidR="000E5671" w:rsidRPr="00413148" w:rsidRDefault="000E5671" w:rsidP="00536D17"/>
    <w:p w14:paraId="2D375675" w14:textId="77777777" w:rsidR="00790BE1" w:rsidRPr="00413148" w:rsidRDefault="00790BE1" w:rsidP="00113630">
      <w:pPr>
        <w:pStyle w:val="ListParagraph"/>
        <w:numPr>
          <w:ilvl w:val="0"/>
          <w:numId w:val="28"/>
        </w:numPr>
      </w:pPr>
      <w:r w:rsidRPr="00413148">
        <w:t xml:space="preserve">the nature and cost of the </w:t>
      </w:r>
      <w:proofErr w:type="gramStart"/>
      <w:r w:rsidRPr="00413148">
        <w:t>accommodation;</w:t>
      </w:r>
      <w:proofErr w:type="gramEnd"/>
    </w:p>
    <w:p w14:paraId="3EFC85BE" w14:textId="6FF89C80" w:rsidR="00790BE1" w:rsidRPr="00413148" w:rsidRDefault="00790BE1" w:rsidP="00113630">
      <w:pPr>
        <w:pStyle w:val="ListParagraph"/>
        <w:numPr>
          <w:ilvl w:val="0"/>
          <w:numId w:val="28"/>
        </w:numPr>
      </w:pPr>
      <w:r w:rsidRPr="00413148">
        <w:t xml:space="preserve">the overall financial resources of the facility or the facilities involved in the provision of </w:t>
      </w:r>
      <w:proofErr w:type="gramStart"/>
      <w:r w:rsidRPr="00413148">
        <w:t>the reasonable</w:t>
      </w:r>
      <w:proofErr w:type="gramEnd"/>
      <w:r w:rsidRPr="00413148">
        <w:t xml:space="preserve"> accommodation; the number of </w:t>
      </w:r>
      <w:proofErr w:type="gramStart"/>
      <w:r w:rsidRPr="00413148">
        <w:t>persons</w:t>
      </w:r>
      <w:proofErr w:type="gramEnd"/>
      <w:r w:rsidRPr="00413148">
        <w:t xml:space="preserve"> employed at such facility</w:t>
      </w:r>
      <w:r w:rsidR="008201AE" w:rsidRPr="00413148">
        <w:t>(</w:t>
      </w:r>
      <w:proofErr w:type="spellStart"/>
      <w:r w:rsidR="008201AE" w:rsidRPr="00413148">
        <w:t>ies</w:t>
      </w:r>
      <w:proofErr w:type="spellEnd"/>
      <w:r w:rsidR="008201AE" w:rsidRPr="00413148">
        <w:t>)</w:t>
      </w:r>
      <w:r w:rsidRPr="00413148">
        <w:t>; the effect on expenses and resources, or the impact otherwise of such accommodation upon the operation of the facility</w:t>
      </w:r>
      <w:r w:rsidR="008201AE" w:rsidRPr="00413148">
        <w:t>(</w:t>
      </w:r>
      <w:proofErr w:type="spellStart"/>
      <w:r w:rsidR="008201AE" w:rsidRPr="00413148">
        <w:t>ies</w:t>
      </w:r>
      <w:proofErr w:type="spellEnd"/>
      <w:proofErr w:type="gramStart"/>
      <w:r w:rsidR="008201AE" w:rsidRPr="00413148">
        <w:t>)</w:t>
      </w:r>
      <w:r w:rsidRPr="00413148">
        <w:t>;</w:t>
      </w:r>
      <w:proofErr w:type="gramEnd"/>
    </w:p>
    <w:p w14:paraId="78A3AF8C" w14:textId="01EAE707" w:rsidR="00790BE1" w:rsidRPr="00413148" w:rsidRDefault="00790BE1" w:rsidP="00113630">
      <w:pPr>
        <w:pStyle w:val="ListParagraph"/>
        <w:numPr>
          <w:ilvl w:val="0"/>
          <w:numId w:val="28"/>
        </w:numPr>
      </w:pPr>
      <w:r w:rsidRPr="00413148">
        <w:t>the overall financial resources of the covered entity; the overall size of the business of a covered entity with respect to the number of its employees; the number, type, and location of its facilities; and</w:t>
      </w:r>
    </w:p>
    <w:p w14:paraId="3A9292C8" w14:textId="77777777" w:rsidR="00790BE1" w:rsidRPr="00413148" w:rsidRDefault="00790BE1" w:rsidP="00113630">
      <w:pPr>
        <w:pStyle w:val="ListParagraph"/>
        <w:numPr>
          <w:ilvl w:val="0"/>
          <w:numId w:val="28"/>
        </w:numPr>
      </w:pPr>
      <w:r w:rsidRPr="00413148">
        <w:lastRenderedPageBreak/>
        <w:t>the type of operation or operations of the covered entity, including the composition, structure, and functions of the workforce of such entity; the geographic separateness, administrative, or fiscal relationship of the facility or facilities in question to the covered entity.</w:t>
      </w:r>
      <w:r w:rsidRPr="00413148">
        <w:rPr>
          <w:rStyle w:val="FootnoteReference"/>
        </w:rPr>
        <w:footnoteReference w:id="134"/>
      </w:r>
    </w:p>
    <w:p w14:paraId="2415E57D" w14:textId="77777777" w:rsidR="00790BE1" w:rsidRPr="00413148" w:rsidRDefault="00790BE1" w:rsidP="00536D17"/>
    <w:p w14:paraId="7711B649" w14:textId="77777777" w:rsidR="00790BE1" w:rsidRPr="00413148" w:rsidRDefault="70E8BFD7" w:rsidP="000E5671">
      <w:r w:rsidRPr="00413148">
        <w:t>A covered employer cannot refuse to provide an accommodation just because it involves cost. Instead, the employer must consider the overall resources available to the business or agency, including the entity as a whole, available outside resources, and tax incentives. Furthermore, as undue hardship is assessed on a case-by-case basis, a specific cost may result in undue hardship for one covered employer but may not for another.</w:t>
      </w:r>
      <w:r w:rsidR="00790BE1" w:rsidRPr="00413148">
        <w:rPr>
          <w:rStyle w:val="FootnoteReference"/>
        </w:rPr>
        <w:footnoteReference w:id="135"/>
      </w:r>
      <w:r w:rsidRPr="00413148">
        <w:t xml:space="preserve"> If a covered employer asserts that providing an accommodation will cause an undue hardship based on financial cost, it will be expected to disclose to the Commission financial documents to allow for an assessment of the alleged financial hardship. </w:t>
      </w:r>
      <w:r w:rsidR="43111280" w:rsidRPr="00413148">
        <w:t xml:space="preserve">Failure to </w:t>
      </w:r>
      <w:r w:rsidR="4A94C45C" w:rsidRPr="00413148">
        <w:t>provide</w:t>
      </w:r>
      <w:r w:rsidRPr="00413148">
        <w:t xml:space="preserve"> relevant financial information</w:t>
      </w:r>
      <w:r w:rsidR="19D314B3" w:rsidRPr="00413148">
        <w:t xml:space="preserve"> or make the requisite evidentiary showing </w:t>
      </w:r>
      <w:r w:rsidR="6EE9EEF5" w:rsidRPr="00413148">
        <w:t>of</w:t>
      </w:r>
      <w:r w:rsidR="19D314B3" w:rsidRPr="00413148">
        <w:t xml:space="preserve"> financial hardship</w:t>
      </w:r>
      <w:r w:rsidRPr="00413148">
        <w:t xml:space="preserve"> could result in a finding that the proposed accommodation does not cause an undue hardship. Further, failure to provide relevant financial information pursuant to a request by the Bureau may result in an adverse </w:t>
      </w:r>
      <w:r w:rsidR="5DA9CBA9" w:rsidRPr="00413148">
        <w:t>finding</w:t>
      </w:r>
      <w:r w:rsidRPr="00413148">
        <w:t xml:space="preserve"> against the employer with respect to the determination of civil penalties.</w:t>
      </w:r>
    </w:p>
    <w:p w14:paraId="7D8B1277" w14:textId="77777777" w:rsidR="00790BE1" w:rsidRPr="00413148" w:rsidRDefault="00790BE1" w:rsidP="000E5671"/>
    <w:p w14:paraId="5B505A7C" w14:textId="5B495179" w:rsidR="00790BE1" w:rsidRPr="00413148" w:rsidRDefault="18DCD504" w:rsidP="000E5671">
      <w:r w:rsidRPr="00413148">
        <w:lastRenderedPageBreak/>
        <w:t>A covered employer need not provide the specific accommodation sought; rather, a covered employer may propose reasonable alternatives that meet the specific needs of the person with the disability or that specifically address the limitation at issue.</w:t>
      </w:r>
      <w:r w:rsidR="00790BE1" w:rsidRPr="00413148">
        <w:rPr>
          <w:rStyle w:val="FootnoteReference"/>
        </w:rPr>
        <w:footnoteReference w:id="136"/>
      </w:r>
      <w:r w:rsidRPr="00413148">
        <w:t xml:space="preserve"> Moreover, a covered employer is not required to substantially change its business processes or </w:t>
      </w:r>
      <w:r w:rsidR="28A2C1E1" w:rsidRPr="00413148">
        <w:t xml:space="preserve">company </w:t>
      </w:r>
      <w:r w:rsidRPr="00413148">
        <w:t>structure to afford an accommodation; if such a change is required</w:t>
      </w:r>
      <w:r w:rsidR="69E70435" w:rsidRPr="00413148">
        <w:t xml:space="preserve">, </w:t>
      </w:r>
      <w:r w:rsidRPr="00413148">
        <w:t xml:space="preserve">it will likely </w:t>
      </w:r>
      <w:r w:rsidR="0CD0F5A0" w:rsidRPr="00413148">
        <w:t>constitute</w:t>
      </w:r>
      <w:r w:rsidRPr="00413148">
        <w:t xml:space="preserve"> an undue hardship. Similarly, a covered employer will not be required to take extraordinary financial measures, such as closing business operations or changing compensation practices, to afford an accommodation. Where it is</w:t>
      </w:r>
      <w:r w:rsidRPr="00413148" w:rsidDel="009B793B">
        <w:t xml:space="preserve"> </w:t>
      </w:r>
      <w:r w:rsidRPr="00413148">
        <w:t>established</w:t>
      </w:r>
      <w:r w:rsidR="009B793B" w:rsidRPr="00413148">
        <w:t xml:space="preserve"> clearly</w:t>
      </w:r>
      <w:r w:rsidRPr="00413148">
        <w:t xml:space="preserve"> that </w:t>
      </w:r>
      <w:r w:rsidR="00EA6631" w:rsidRPr="00413148">
        <w:t>a</w:t>
      </w:r>
      <w:r w:rsidRPr="00413148">
        <w:t xml:space="preserve"> necessary accommodation will pose an undue hardship due to expense, a covered employer</w:t>
      </w:r>
      <w:r w:rsidR="248CC98E" w:rsidRPr="00413148">
        <w:t xml:space="preserve"> </w:t>
      </w:r>
      <w:r w:rsidRPr="00413148">
        <w:t>is encouraged but not required to explore the possibility of</w:t>
      </w:r>
      <w:r w:rsidR="736FE1E2" w:rsidRPr="00413148">
        <w:t>:</w:t>
      </w:r>
      <w:r w:rsidRPr="00413148">
        <w:t xml:space="preserve"> seeking third party funding, through a grant or other means</w:t>
      </w:r>
      <w:r w:rsidR="235F0551" w:rsidRPr="00413148">
        <w:t>;</w:t>
      </w:r>
      <w:r w:rsidR="0BFB373E" w:rsidRPr="00413148">
        <w:t xml:space="preserve"> </w:t>
      </w:r>
      <w:r w:rsidRPr="00413148">
        <w:t>assist</w:t>
      </w:r>
      <w:r w:rsidR="08E9BF43" w:rsidRPr="00413148">
        <w:t>ing</w:t>
      </w:r>
      <w:r w:rsidRPr="00413148">
        <w:t xml:space="preserve"> the individual in applying for a grant to obtain the accommodation</w:t>
      </w:r>
      <w:r w:rsidR="7996591C" w:rsidRPr="00413148">
        <w:t>;</w:t>
      </w:r>
      <w:r w:rsidRPr="00413148">
        <w:t xml:space="preserve"> or present</w:t>
      </w:r>
      <w:r w:rsidR="7F13F90D" w:rsidRPr="00413148">
        <w:t>ing</w:t>
      </w:r>
      <w:r w:rsidRPr="00413148">
        <w:t xml:space="preserve"> the possibility of having the individual pay for part or all of the accommodation.</w:t>
      </w:r>
      <w:r w:rsidR="00790BE1" w:rsidRPr="00413148">
        <w:rPr>
          <w:rStyle w:val="FootnoteReference"/>
        </w:rPr>
        <w:footnoteReference w:id="137"/>
      </w:r>
      <w:r w:rsidRPr="00413148">
        <w:t xml:space="preserve">  </w:t>
      </w:r>
    </w:p>
    <w:p w14:paraId="34AC3F9C" w14:textId="77777777" w:rsidR="0083527C" w:rsidRPr="00413148" w:rsidRDefault="0083527C" w:rsidP="000E5671"/>
    <w:p w14:paraId="4F11011D" w14:textId="77777777" w:rsidR="7080590F" w:rsidRPr="00413148" w:rsidRDefault="18DCD504" w:rsidP="000E5671">
      <w:r w:rsidRPr="00413148">
        <w:t>Requests for accommodations that require physical changes or accommodations to a space may constitute an undue hardship if, for example, they would be architecturally infeasible.</w:t>
      </w:r>
      <w:r w:rsidR="00790BE1" w:rsidRPr="00413148">
        <w:rPr>
          <w:rStyle w:val="FootnoteReference"/>
        </w:rPr>
        <w:footnoteReference w:id="138"/>
      </w:r>
      <w:r w:rsidRPr="00413148">
        <w:t xml:space="preserve"> In addition, if a physical change or accommodation is needed for a limited period of time because an employee has a temporary disability, the period of time for which the accommodation is needed will be considered in </w:t>
      </w:r>
      <w:r w:rsidRPr="00413148">
        <w:lastRenderedPageBreak/>
        <w:t>determining whether the time and expense to provide the accommodation would cause an undue hardship.</w:t>
      </w:r>
      <w:r w:rsidR="001E2113" w:rsidRPr="00413148">
        <w:rPr>
          <w:rStyle w:val="FootnoteReference"/>
        </w:rPr>
        <w:footnoteReference w:id="139"/>
      </w:r>
    </w:p>
    <w:p w14:paraId="5A648D46" w14:textId="77777777" w:rsidR="003C2B68" w:rsidRPr="00413148" w:rsidRDefault="003C2B68" w:rsidP="000E5671"/>
    <w:p w14:paraId="5E8CAB2B" w14:textId="77777777" w:rsidR="00790BE1" w:rsidRPr="00413148" w:rsidRDefault="00790BE1" w:rsidP="00113630">
      <w:pPr>
        <w:pStyle w:val="Heading4"/>
        <w:numPr>
          <w:ilvl w:val="0"/>
          <w:numId w:val="8"/>
        </w:numPr>
        <w:spacing w:before="0" w:after="0"/>
        <w:ind w:left="1440" w:hanging="540"/>
        <w:rPr>
          <w:rFonts w:cs="Arial"/>
          <w:b/>
          <w:bCs/>
          <w:color w:val="4B0082"/>
        </w:rPr>
      </w:pPr>
      <w:r w:rsidRPr="00413148">
        <w:rPr>
          <w:rFonts w:cs="Arial"/>
          <w:b/>
          <w:bCs/>
          <w:color w:val="4B0082"/>
        </w:rPr>
        <w:t>Essential Requisites of the Job</w:t>
      </w:r>
    </w:p>
    <w:p w14:paraId="558F6A4F" w14:textId="77777777" w:rsidR="00790BE1" w:rsidRPr="00413148" w:rsidRDefault="00790BE1" w:rsidP="000E5671"/>
    <w:p w14:paraId="79EE42CB" w14:textId="77777777" w:rsidR="00790BE1" w:rsidRPr="00413148" w:rsidRDefault="18DCD504" w:rsidP="000E5671">
      <w:r w:rsidRPr="00413148">
        <w:t xml:space="preserve">In employment cases </w:t>
      </w:r>
      <w:r w:rsidR="1E407018" w:rsidRPr="00413148">
        <w:t>regarding</w:t>
      </w:r>
      <w:r w:rsidRPr="00413148">
        <w:t xml:space="preserve"> a reasonable accommodation, the employer may raise the affirmative defense that the person aggrieved by the alleged discriminatory practice could not, even with a reasonable accommodation, satisfy the essential requisites of the job.</w:t>
      </w:r>
      <w:r w:rsidR="00790BE1" w:rsidRPr="00413148">
        <w:rPr>
          <w:rStyle w:val="FootnoteReference"/>
        </w:rPr>
        <w:footnoteReference w:id="140"/>
      </w:r>
      <w:r w:rsidRPr="00413148">
        <w:t xml:space="preserve"> The employer has the burden </w:t>
      </w:r>
      <w:r w:rsidR="56CC2066" w:rsidRPr="00413148">
        <w:t>of proof</w:t>
      </w:r>
      <w:r w:rsidRPr="00413148">
        <w:t>.</w:t>
      </w:r>
      <w:r w:rsidR="00790BE1" w:rsidRPr="00413148">
        <w:rPr>
          <w:rStyle w:val="FootnoteReference"/>
        </w:rPr>
        <w:footnoteReference w:id="141"/>
      </w:r>
      <w:r w:rsidRPr="00413148">
        <w:t xml:space="preserve"> </w:t>
      </w:r>
      <w:r w:rsidR="55204BA2" w:rsidRPr="00413148">
        <w:t>One way a</w:t>
      </w:r>
      <w:r w:rsidRPr="00413148">
        <w:t xml:space="preserve">n employer can establish this </w:t>
      </w:r>
      <w:r w:rsidR="009F19D3" w:rsidRPr="00413148">
        <w:t xml:space="preserve">is </w:t>
      </w:r>
      <w:r w:rsidRPr="00413148">
        <w:t xml:space="preserve">by appropriately engaging in the </w:t>
      </w:r>
      <w:r w:rsidR="00C20D93" w:rsidRPr="00413148">
        <w:t xml:space="preserve">good faith </w:t>
      </w:r>
      <w:r w:rsidRPr="00413148">
        <w:t>cooperative dialogue with the employee and arriving at this conclusion.</w:t>
      </w:r>
    </w:p>
    <w:p w14:paraId="44856DBE" w14:textId="77777777" w:rsidR="00790BE1" w:rsidRPr="00413148" w:rsidRDefault="00790BE1" w:rsidP="000E5671"/>
    <w:p w14:paraId="4DCFDF93" w14:textId="77777777" w:rsidR="00790BE1" w:rsidRPr="00413148" w:rsidRDefault="18DCD504" w:rsidP="000E5671">
      <w:r w:rsidRPr="00413148">
        <w:t xml:space="preserve">In raising </w:t>
      </w:r>
      <w:r w:rsidR="621366B6" w:rsidRPr="00413148">
        <w:t xml:space="preserve">a </w:t>
      </w:r>
      <w:r w:rsidRPr="00413148">
        <w:t>defense</w:t>
      </w:r>
      <w:r w:rsidR="47C74BA6" w:rsidRPr="00413148">
        <w:t xml:space="preserve"> based on satis</w:t>
      </w:r>
      <w:r w:rsidR="71133257" w:rsidRPr="00413148">
        <w:t>f</w:t>
      </w:r>
      <w:r w:rsidR="47C74BA6" w:rsidRPr="00413148">
        <w:t>ying the essential requisites of the job</w:t>
      </w:r>
      <w:r w:rsidRPr="00413148">
        <w:t>, an employer must show that there are no comparable positions available for which the employee is qualified that would accommodate the employee, and that a lesser position or an unpaid leave of absence is either not acceptable to the employee or would pose an undue hardship.</w:t>
      </w:r>
      <w:r w:rsidR="00790BE1" w:rsidRPr="00413148">
        <w:rPr>
          <w:vertAlign w:val="superscript"/>
        </w:rPr>
        <w:footnoteReference w:id="142"/>
      </w:r>
      <w:r w:rsidRPr="00413148">
        <w:t xml:space="preserve"> This </w:t>
      </w:r>
      <w:r w:rsidR="00A06F4F" w:rsidRPr="00413148">
        <w:t xml:space="preserve">should </w:t>
      </w:r>
      <w:r w:rsidRPr="00413148">
        <w:t xml:space="preserve">all be documented in the written determination </w:t>
      </w:r>
      <w:r w:rsidR="14D154BC" w:rsidRPr="00413148">
        <w:t xml:space="preserve">that an employer is required to provide to </w:t>
      </w:r>
      <w:r w:rsidRPr="00413148">
        <w:t>conclud</w:t>
      </w:r>
      <w:r w:rsidR="07E1D91E" w:rsidRPr="00413148">
        <w:t xml:space="preserve">e </w:t>
      </w:r>
      <w:r w:rsidRPr="00413148">
        <w:t>the cooperative dialogue</w:t>
      </w:r>
      <w:r w:rsidR="63C7C944" w:rsidRPr="00413148">
        <w:t>.</w:t>
      </w:r>
    </w:p>
    <w:p w14:paraId="3AC0E42B" w14:textId="77777777" w:rsidR="003C2B68" w:rsidRPr="00413148" w:rsidRDefault="003C2B68" w:rsidP="000E5671"/>
    <w:p w14:paraId="14FE1054" w14:textId="77777777" w:rsidR="00790BE1" w:rsidRPr="00413148" w:rsidRDefault="45BECDD1" w:rsidP="000E5671">
      <w:r w:rsidRPr="00413148">
        <w:t>Essential requisites of a job, or essential job</w:t>
      </w:r>
      <w:r w:rsidR="79875A3A" w:rsidRPr="00413148">
        <w:t xml:space="preserve"> duties</w:t>
      </w:r>
      <w:r w:rsidRPr="00413148">
        <w:t xml:space="preserve">, are </w:t>
      </w:r>
      <w:r w:rsidRPr="00413148">
        <w:rPr>
          <w:i/>
          <w:iCs/>
        </w:rPr>
        <w:t>not</w:t>
      </w:r>
      <w:r w:rsidRPr="00413148">
        <w:t xml:space="preserve"> synonymous with </w:t>
      </w:r>
      <w:r w:rsidRPr="00413148">
        <w:rPr>
          <w:i/>
          <w:iCs/>
        </w:rPr>
        <w:t xml:space="preserve">all </w:t>
      </w:r>
      <w:r w:rsidRPr="00413148">
        <w:t xml:space="preserve">the functions of the job. In evaluating whether </w:t>
      </w:r>
      <w:r w:rsidRPr="00413148">
        <w:lastRenderedPageBreak/>
        <w:t>certain functions of a job are considered “essential,” factors including, but not limited to, the following will be considered:</w:t>
      </w:r>
    </w:p>
    <w:p w14:paraId="71C51DA9" w14:textId="77777777" w:rsidR="00790BE1" w:rsidRPr="00413148" w:rsidRDefault="00790BE1" w:rsidP="000E5671"/>
    <w:p w14:paraId="320FD09C" w14:textId="77777777" w:rsidR="00790BE1" w:rsidRPr="00413148" w:rsidRDefault="00790BE1" w:rsidP="00113630">
      <w:pPr>
        <w:pStyle w:val="ListParagraph"/>
        <w:numPr>
          <w:ilvl w:val="0"/>
          <w:numId w:val="31"/>
        </w:numPr>
      </w:pPr>
      <w:r w:rsidRPr="00413148">
        <w:t xml:space="preserve">Whether the position exists for performance of that particular </w:t>
      </w:r>
      <w:proofErr w:type="gramStart"/>
      <w:r w:rsidRPr="00413148">
        <w:t>function;</w:t>
      </w:r>
      <w:proofErr w:type="gramEnd"/>
    </w:p>
    <w:p w14:paraId="23C2C006" w14:textId="77777777" w:rsidR="00790BE1" w:rsidRPr="00413148" w:rsidRDefault="00790BE1" w:rsidP="00113630">
      <w:pPr>
        <w:pStyle w:val="ListParagraph"/>
        <w:numPr>
          <w:ilvl w:val="0"/>
          <w:numId w:val="31"/>
        </w:numPr>
      </w:pPr>
      <w:r w:rsidRPr="00413148">
        <w:t xml:space="preserve">Whether other employees perform that function and/or whether it can be </w:t>
      </w:r>
      <w:proofErr w:type="gramStart"/>
      <w:r w:rsidRPr="00413148">
        <w:t>reassigned;</w:t>
      </w:r>
      <w:proofErr w:type="gramEnd"/>
    </w:p>
    <w:p w14:paraId="014D675F" w14:textId="77777777" w:rsidR="00790BE1" w:rsidRPr="00413148" w:rsidRDefault="00790BE1" w:rsidP="00113630">
      <w:pPr>
        <w:pStyle w:val="ListParagraph"/>
        <w:numPr>
          <w:ilvl w:val="0"/>
          <w:numId w:val="31"/>
        </w:numPr>
      </w:pPr>
      <w:r w:rsidRPr="00413148">
        <w:t xml:space="preserve">Whether the function is highly specialized so that the employee in the position is hired for their specific expertise or ability to perform </w:t>
      </w:r>
      <w:proofErr w:type="gramStart"/>
      <w:r w:rsidRPr="00413148">
        <w:t>it;</w:t>
      </w:r>
      <w:proofErr w:type="gramEnd"/>
    </w:p>
    <w:p w14:paraId="11835C0A" w14:textId="77777777" w:rsidR="00790BE1" w:rsidRPr="00413148" w:rsidRDefault="00790BE1" w:rsidP="00113630">
      <w:pPr>
        <w:pStyle w:val="ListParagraph"/>
        <w:numPr>
          <w:ilvl w:val="0"/>
          <w:numId w:val="31"/>
        </w:numPr>
      </w:pPr>
      <w:r w:rsidRPr="00413148">
        <w:t xml:space="preserve">Whether removal or reassignment of the function would fundamentally alter the </w:t>
      </w:r>
      <w:proofErr w:type="gramStart"/>
      <w:r w:rsidRPr="00413148">
        <w:t>position;</w:t>
      </w:r>
      <w:proofErr w:type="gramEnd"/>
    </w:p>
    <w:p w14:paraId="776EABC5" w14:textId="77777777" w:rsidR="00790BE1" w:rsidRPr="00413148" w:rsidRDefault="00790BE1" w:rsidP="00113630">
      <w:pPr>
        <w:pStyle w:val="ListParagraph"/>
        <w:numPr>
          <w:ilvl w:val="0"/>
          <w:numId w:val="31"/>
        </w:numPr>
      </w:pPr>
      <w:r w:rsidRPr="00413148">
        <w:t xml:space="preserve">How much time is spent performing the </w:t>
      </w:r>
      <w:proofErr w:type="gramStart"/>
      <w:r w:rsidRPr="00413148">
        <w:t>function;</w:t>
      </w:r>
      <w:proofErr w:type="gramEnd"/>
    </w:p>
    <w:p w14:paraId="6BC09C7D" w14:textId="77777777" w:rsidR="00790BE1" w:rsidRPr="00413148" w:rsidRDefault="00790BE1" w:rsidP="00113630">
      <w:pPr>
        <w:pStyle w:val="ListParagraph"/>
        <w:numPr>
          <w:ilvl w:val="0"/>
          <w:numId w:val="31"/>
        </w:numPr>
      </w:pPr>
      <w:r w:rsidRPr="00413148">
        <w:t xml:space="preserve">Whether there are consequences associated with failing to perform the </w:t>
      </w:r>
      <w:proofErr w:type="gramStart"/>
      <w:r w:rsidRPr="00413148">
        <w:t>function;</w:t>
      </w:r>
      <w:proofErr w:type="gramEnd"/>
      <w:r w:rsidRPr="00413148">
        <w:t xml:space="preserve"> </w:t>
      </w:r>
    </w:p>
    <w:p w14:paraId="574049A4" w14:textId="77777777" w:rsidR="00790BE1" w:rsidRPr="00413148" w:rsidRDefault="00790BE1" w:rsidP="00113630">
      <w:pPr>
        <w:pStyle w:val="ListParagraph"/>
        <w:numPr>
          <w:ilvl w:val="0"/>
          <w:numId w:val="31"/>
        </w:numPr>
      </w:pPr>
      <w:r w:rsidRPr="00413148">
        <w:t>Whether the function is merely a requirement “on paper” or is actually required of employees; and</w:t>
      </w:r>
    </w:p>
    <w:p w14:paraId="5855F783" w14:textId="77777777" w:rsidR="00790BE1" w:rsidRPr="00413148" w:rsidRDefault="00790BE1" w:rsidP="00113630">
      <w:pPr>
        <w:pStyle w:val="ListParagraph"/>
        <w:numPr>
          <w:ilvl w:val="0"/>
          <w:numId w:val="31"/>
        </w:numPr>
      </w:pPr>
      <w:r w:rsidRPr="00413148">
        <w:t>Whether the function is critical to one’s job performance.</w:t>
      </w:r>
      <w:r w:rsidRPr="00413148">
        <w:rPr>
          <w:rStyle w:val="FootnoteReference"/>
        </w:rPr>
        <w:footnoteReference w:id="143"/>
      </w:r>
    </w:p>
    <w:p w14:paraId="75053BBF" w14:textId="77777777" w:rsidR="00790BE1" w:rsidRPr="00413148" w:rsidRDefault="00790BE1" w:rsidP="00536D17"/>
    <w:p w14:paraId="64D20273" w14:textId="77777777" w:rsidR="00790BE1" w:rsidRPr="00413148" w:rsidRDefault="18DCD504" w:rsidP="00536D17">
      <w:r w:rsidRPr="00413148">
        <w:t>In making this determination, no one factor is dispositive, and a fact-specific inquiry will be conducted into both the employer’s description of a job and how the job is actually performed in practice.</w:t>
      </w:r>
      <w:r w:rsidR="00790BE1" w:rsidRPr="00413148">
        <w:rPr>
          <w:rStyle w:val="FootnoteReference"/>
        </w:rPr>
        <w:footnoteReference w:id="144"/>
      </w:r>
      <w:r w:rsidRPr="00413148">
        <w:t xml:space="preserve"> A job description or job posting, while informative, is not considered an absolute list of essential job functions</w:t>
      </w:r>
      <w:r w:rsidR="1F84C265" w:rsidRPr="00413148">
        <w:t>. T</w:t>
      </w:r>
      <w:r w:rsidRPr="00413148">
        <w:t>he specific day-to-day essential</w:t>
      </w:r>
      <w:r w:rsidR="00E71192" w:rsidRPr="00413148">
        <w:t xml:space="preserve"> tasks</w:t>
      </w:r>
      <w:r w:rsidRPr="00413148">
        <w:t xml:space="preserve"> that </w:t>
      </w:r>
      <w:r w:rsidR="67E34487" w:rsidRPr="00413148">
        <w:t>an</w:t>
      </w:r>
      <w:r w:rsidRPr="00413148">
        <w:t xml:space="preserve"> employee performs will </w:t>
      </w:r>
      <w:r w:rsidR="614EBD4E" w:rsidRPr="00413148">
        <w:t xml:space="preserve">also </w:t>
      </w:r>
      <w:r w:rsidRPr="00413148">
        <w:t>be considered.</w:t>
      </w:r>
    </w:p>
    <w:p w14:paraId="67B4DD8D" w14:textId="77777777" w:rsidR="00790BE1" w:rsidRPr="00413148" w:rsidRDefault="00790BE1" w:rsidP="000E5671"/>
    <w:p w14:paraId="20A45A05" w14:textId="77777777" w:rsidR="00790BE1" w:rsidRPr="00413148" w:rsidRDefault="18DCD504" w:rsidP="00113630">
      <w:pPr>
        <w:pStyle w:val="Heading4"/>
        <w:numPr>
          <w:ilvl w:val="0"/>
          <w:numId w:val="8"/>
        </w:numPr>
        <w:spacing w:before="0" w:after="0"/>
        <w:ind w:left="1440" w:hanging="540"/>
        <w:rPr>
          <w:rFonts w:cs="Arial"/>
          <w:b/>
          <w:bCs/>
          <w:color w:val="4B0082"/>
        </w:rPr>
      </w:pPr>
      <w:r w:rsidRPr="00413148">
        <w:rPr>
          <w:rFonts w:cs="Arial"/>
          <w:b/>
          <w:bCs/>
          <w:color w:val="4B0082"/>
        </w:rPr>
        <w:t>Requested Accommodation</w:t>
      </w:r>
      <w:r w:rsidR="1F716C0D" w:rsidRPr="00413148">
        <w:rPr>
          <w:rFonts w:cs="Arial"/>
          <w:b/>
          <w:bCs/>
          <w:color w:val="4B0082"/>
        </w:rPr>
        <w:t>(s)</w:t>
      </w:r>
      <w:r w:rsidRPr="00413148">
        <w:rPr>
          <w:rFonts w:cs="Arial"/>
          <w:b/>
          <w:bCs/>
          <w:color w:val="4B0082"/>
        </w:rPr>
        <w:t xml:space="preserve"> </w:t>
      </w:r>
      <w:r w:rsidR="004E4513" w:rsidRPr="00413148">
        <w:rPr>
          <w:rFonts w:cs="Arial"/>
          <w:b/>
          <w:bCs/>
          <w:color w:val="4B0082"/>
        </w:rPr>
        <w:t xml:space="preserve">That </w:t>
      </w:r>
      <w:r w:rsidRPr="00413148">
        <w:rPr>
          <w:rFonts w:cs="Arial"/>
          <w:b/>
          <w:bCs/>
          <w:color w:val="4B0082"/>
        </w:rPr>
        <w:t>Implicate Other City, State, or Federal Law</w:t>
      </w:r>
      <w:r w:rsidR="0358EC2D" w:rsidRPr="00413148">
        <w:rPr>
          <w:rFonts w:cs="Arial"/>
          <w:b/>
          <w:bCs/>
          <w:color w:val="4B0082"/>
        </w:rPr>
        <w:t>s</w:t>
      </w:r>
    </w:p>
    <w:p w14:paraId="5C1E2597" w14:textId="77777777" w:rsidR="00790BE1" w:rsidRPr="00413148" w:rsidRDefault="00790BE1" w:rsidP="000E5671"/>
    <w:p w14:paraId="0B94FF67" w14:textId="0780951A" w:rsidR="00790BE1" w:rsidRPr="00413148" w:rsidRDefault="00790BE1" w:rsidP="000E5671">
      <w:r w:rsidRPr="00413148">
        <w:t>In some instances, a requested accommodation may</w:t>
      </w:r>
      <w:r w:rsidR="006E05CB" w:rsidRPr="00413148">
        <w:t xml:space="preserve"> be prohibited by</w:t>
      </w:r>
      <w:r w:rsidRPr="00413148">
        <w:t xml:space="preserve"> federal, state</w:t>
      </w:r>
      <w:r w:rsidR="001662D7" w:rsidRPr="00413148">
        <w:t>,</w:t>
      </w:r>
      <w:r w:rsidRPr="00413148">
        <w:t xml:space="preserve"> or local law</w:t>
      </w:r>
      <w:r w:rsidR="001662D7" w:rsidRPr="00413148">
        <w:t>s</w:t>
      </w:r>
      <w:r w:rsidRPr="00413148">
        <w:t xml:space="preserve"> or regulations. </w:t>
      </w:r>
      <w:r w:rsidR="618C7AAF" w:rsidRPr="00413148">
        <w:t xml:space="preserve">Where </w:t>
      </w:r>
      <w:r w:rsidR="00664FB8" w:rsidRPr="00413148">
        <w:t xml:space="preserve">the requested </w:t>
      </w:r>
      <w:r w:rsidR="00664FB8" w:rsidRPr="00413148">
        <w:lastRenderedPageBreak/>
        <w:t xml:space="preserve">accommodation is the only option that would address the needs of the employee, </w:t>
      </w:r>
      <w:r w:rsidR="44EF8D14" w:rsidRPr="00413148">
        <w:t xml:space="preserve">and the requestor or employer </w:t>
      </w:r>
      <w:r w:rsidR="027B01A5" w:rsidRPr="00413148">
        <w:t>is</w:t>
      </w:r>
      <w:r w:rsidR="00C956FD" w:rsidRPr="00413148">
        <w:t xml:space="preserve"> or becomes</w:t>
      </w:r>
      <w:r w:rsidR="43A43571" w:rsidRPr="00413148">
        <w:t xml:space="preserve"> aware</w:t>
      </w:r>
      <w:r w:rsidRPr="00413148">
        <w:t xml:space="preserve"> </w:t>
      </w:r>
      <w:r w:rsidR="43A43571" w:rsidRPr="00413148">
        <w:t>of a potential</w:t>
      </w:r>
      <w:r w:rsidRPr="00413148">
        <w:t xml:space="preserve"> waiver from the </w:t>
      </w:r>
      <w:r w:rsidR="545DA27F" w:rsidRPr="00413148">
        <w:t>applicable</w:t>
      </w:r>
      <w:r w:rsidRPr="00413148">
        <w:t xml:space="preserve"> law</w:t>
      </w:r>
      <w:r w:rsidR="004E199E" w:rsidRPr="00413148">
        <w:t>(</w:t>
      </w:r>
      <w:r w:rsidRPr="00413148">
        <w:t>s</w:t>
      </w:r>
      <w:r w:rsidR="00B93711" w:rsidRPr="00413148">
        <w:t>)</w:t>
      </w:r>
      <w:r w:rsidR="25CF0E5F" w:rsidRPr="00413148">
        <w:t>,</w:t>
      </w:r>
      <w:r w:rsidR="00FE4F11" w:rsidRPr="00413148">
        <w:t xml:space="preserve"> </w:t>
      </w:r>
      <w:r w:rsidR="00D96294" w:rsidRPr="00413148">
        <w:t>rule</w:t>
      </w:r>
      <w:r w:rsidR="00B93711" w:rsidRPr="00413148">
        <w:t>(</w:t>
      </w:r>
      <w:r w:rsidR="00D96294" w:rsidRPr="00413148">
        <w:t>s</w:t>
      </w:r>
      <w:r w:rsidR="00B93711" w:rsidRPr="00413148">
        <w:t>)</w:t>
      </w:r>
      <w:r w:rsidR="6E143225" w:rsidRPr="00413148">
        <w:t>,</w:t>
      </w:r>
      <w:r w:rsidR="00D96294" w:rsidRPr="00413148">
        <w:t xml:space="preserve"> or </w:t>
      </w:r>
      <w:r w:rsidR="007D0BEB" w:rsidRPr="00413148">
        <w:t>regulation</w:t>
      </w:r>
      <w:r w:rsidR="00B93711" w:rsidRPr="00413148">
        <w:t>(</w:t>
      </w:r>
      <w:r w:rsidR="007D0BEB" w:rsidRPr="00413148">
        <w:t>s</w:t>
      </w:r>
      <w:r w:rsidR="00B93711" w:rsidRPr="00413148">
        <w:t>)</w:t>
      </w:r>
      <w:r w:rsidR="0EFA26FE" w:rsidRPr="00413148">
        <w:t xml:space="preserve">, the employer should explore </w:t>
      </w:r>
      <w:r w:rsidR="48812157" w:rsidRPr="00413148">
        <w:t>s</w:t>
      </w:r>
      <w:r w:rsidR="00EE04B8" w:rsidRPr="00413148">
        <w:t>eeking a waiver</w:t>
      </w:r>
      <w:r w:rsidR="1FEF0EF8" w:rsidRPr="00413148">
        <w:t xml:space="preserve">. This means attempting </w:t>
      </w:r>
      <w:r w:rsidR="00B93711" w:rsidRPr="00413148">
        <w:t xml:space="preserve">to </w:t>
      </w:r>
      <w:r w:rsidR="004E0DFE" w:rsidRPr="00413148">
        <w:t xml:space="preserve">contact </w:t>
      </w:r>
      <w:r w:rsidR="007C60C2" w:rsidRPr="00413148">
        <w:t xml:space="preserve">the </w:t>
      </w:r>
      <w:r w:rsidR="004E0DFE" w:rsidRPr="00413148">
        <w:t>agenc</w:t>
      </w:r>
      <w:r w:rsidR="00471C64" w:rsidRPr="00413148">
        <w:t>y</w:t>
      </w:r>
      <w:r w:rsidR="007C60C2" w:rsidRPr="00413148">
        <w:t xml:space="preserve"> or agencies</w:t>
      </w:r>
      <w:r w:rsidR="4330B4B8" w:rsidRPr="00413148">
        <w:t xml:space="preserve"> with</w:t>
      </w:r>
      <w:r w:rsidR="003046E1" w:rsidRPr="00413148">
        <w:t xml:space="preserve"> </w:t>
      </w:r>
      <w:r w:rsidR="304DD039" w:rsidRPr="00413148">
        <w:t xml:space="preserve">relevant </w:t>
      </w:r>
      <w:r w:rsidR="76545B72" w:rsidRPr="00413148">
        <w:t xml:space="preserve">enforcement or </w:t>
      </w:r>
      <w:r w:rsidR="4330B4B8" w:rsidRPr="00413148">
        <w:t xml:space="preserve">oversight authority </w:t>
      </w:r>
      <w:r w:rsidR="003046E1" w:rsidRPr="00413148">
        <w:t xml:space="preserve">to ascertain whether </w:t>
      </w:r>
      <w:r w:rsidR="44B7A946" w:rsidRPr="00413148">
        <w:t xml:space="preserve">a waiver is possible and the </w:t>
      </w:r>
      <w:r w:rsidR="00C70B0D" w:rsidRPr="00413148">
        <w:t xml:space="preserve">process </w:t>
      </w:r>
      <w:r w:rsidR="7A15FEF4" w:rsidRPr="00413148">
        <w:t xml:space="preserve">for </w:t>
      </w:r>
      <w:r w:rsidR="00C70B0D" w:rsidRPr="00413148">
        <w:t xml:space="preserve">the employer </w:t>
      </w:r>
      <w:r w:rsidR="165E07B0" w:rsidRPr="00413148">
        <w:t>to request a waiver</w:t>
      </w:r>
      <w:r w:rsidR="00C70B0D" w:rsidRPr="00413148">
        <w:t>.</w:t>
      </w:r>
      <w:r w:rsidRPr="00413148">
        <w:t xml:space="preserve"> If a waiver is unavailable</w:t>
      </w:r>
      <w:r w:rsidR="00CE7068" w:rsidRPr="00413148">
        <w:t>,</w:t>
      </w:r>
      <w:r w:rsidR="009C21FC" w:rsidRPr="00413148">
        <w:t xml:space="preserve"> or the process of requesting a waiver would constitute an undue hardship</w:t>
      </w:r>
      <w:r w:rsidR="00CE7068" w:rsidRPr="00413148">
        <w:t>,</w:t>
      </w:r>
      <w:r w:rsidR="5A23CF20" w:rsidRPr="00413148">
        <w:t xml:space="preserve"> that accommodation may be found to be </w:t>
      </w:r>
      <w:r w:rsidR="7FF4D01E" w:rsidRPr="00413148">
        <w:t xml:space="preserve">not </w:t>
      </w:r>
      <w:r w:rsidR="5A23CF20" w:rsidRPr="00413148">
        <w:t xml:space="preserve">reasonable. Employers can explore other </w:t>
      </w:r>
      <w:r w:rsidR="1EB62751" w:rsidRPr="00413148">
        <w:t>avenues to meet the employee’s needs</w:t>
      </w:r>
      <w:r w:rsidR="5A23CF20" w:rsidRPr="00413148">
        <w:t xml:space="preserve"> in that instance.</w:t>
      </w:r>
    </w:p>
    <w:p w14:paraId="6E16DB52" w14:textId="77777777" w:rsidR="007B3023" w:rsidRPr="00413148" w:rsidRDefault="007B3023" w:rsidP="00790BE1"/>
    <w:p w14:paraId="7DE8CEDF" w14:textId="285EBD40" w:rsidR="00790BE1" w:rsidRPr="00413148" w:rsidRDefault="008A5B35" w:rsidP="00113630">
      <w:pPr>
        <w:pStyle w:val="Heading2"/>
        <w:numPr>
          <w:ilvl w:val="0"/>
          <w:numId w:val="45"/>
        </w:numPr>
        <w:ind w:left="360"/>
        <w:rPr>
          <w:rFonts w:ascii="Arial" w:hAnsi="Arial" w:cs="Arial"/>
          <w:b/>
          <w:bCs/>
          <w:color w:val="4B0082"/>
          <w:sz w:val="36"/>
          <w:szCs w:val="36"/>
        </w:rPr>
      </w:pPr>
      <w:r w:rsidRPr="00413148">
        <w:rPr>
          <w:rFonts w:ascii="Arial" w:hAnsi="Arial" w:cs="Arial"/>
          <w:b/>
          <w:bCs/>
          <w:color w:val="4B0082"/>
          <w:sz w:val="36"/>
          <w:szCs w:val="36"/>
        </w:rPr>
        <w:t xml:space="preserve"> </w:t>
      </w:r>
      <w:bookmarkStart w:id="33" w:name="_Toc218083753"/>
      <w:r w:rsidR="00790BE1" w:rsidRPr="00413148">
        <w:rPr>
          <w:rFonts w:ascii="Arial" w:hAnsi="Arial" w:cs="Arial"/>
          <w:b/>
          <w:bCs/>
          <w:color w:val="4B0082"/>
          <w:sz w:val="36"/>
          <w:szCs w:val="36"/>
        </w:rPr>
        <w:t>Disability Protections in Public Accommodations</w:t>
      </w:r>
      <w:bookmarkEnd w:id="33"/>
    </w:p>
    <w:p w14:paraId="67554B67" w14:textId="77777777" w:rsidR="00790BE1" w:rsidRPr="00413148" w:rsidRDefault="00790BE1" w:rsidP="000E5671"/>
    <w:p w14:paraId="4E3A9B23" w14:textId="1E4AB7E9" w:rsidR="00790BE1" w:rsidRPr="00413148" w:rsidRDefault="4A34CB98" w:rsidP="001F3C93">
      <w:pPr>
        <w:pStyle w:val="FootnoteText"/>
        <w:spacing w:line="240" w:lineRule="auto"/>
        <w:ind w:left="0"/>
      </w:pPr>
      <w:r w:rsidRPr="00413148">
        <w:t xml:space="preserve">In New York City, </w:t>
      </w:r>
      <w:r w:rsidR="00AD17A1" w:rsidRPr="00413148">
        <w:t>places and providers of</w:t>
      </w:r>
      <w:r w:rsidRPr="00413148">
        <w:t xml:space="preserve"> public accommodations are required to provide full and equal enjoyment on equal terms and conditions </w:t>
      </w:r>
      <w:r w:rsidR="642770F7" w:rsidRPr="00413148">
        <w:t xml:space="preserve">to patrons. </w:t>
      </w:r>
      <w:r w:rsidR="18DCD504" w:rsidRPr="00413148">
        <w:t xml:space="preserve">The NYCHRL prohibits unlawful discriminatory practices in public accommodations and covers entities as well as any owner, franchisor, </w:t>
      </w:r>
      <w:r w:rsidR="18DCD504" w:rsidRPr="00413148">
        <w:rPr>
          <w:shd w:val="clear" w:color="auto" w:fill="FFFFFF"/>
        </w:rPr>
        <w:t>franchisee, lessor, lessee, proprietor, manager, superintendent, agent</w:t>
      </w:r>
      <w:r w:rsidR="00CB6F2B" w:rsidRPr="00413148">
        <w:rPr>
          <w:shd w:val="clear" w:color="auto" w:fill="FFFFFF"/>
        </w:rPr>
        <w:t>,</w:t>
      </w:r>
      <w:r w:rsidR="18DCD504" w:rsidRPr="00413148">
        <w:rPr>
          <w:shd w:val="clear" w:color="auto" w:fill="FFFFFF"/>
        </w:rPr>
        <w:t xml:space="preserve"> or employee of any place or provider of public accommodation.</w:t>
      </w:r>
      <w:r w:rsidR="00790BE1" w:rsidRPr="00413148">
        <w:rPr>
          <w:rStyle w:val="FootnoteReference"/>
        </w:rPr>
        <w:footnoteReference w:id="145"/>
      </w:r>
      <w:r w:rsidR="00744E9D" w:rsidRPr="00413148">
        <w:rPr>
          <w:shd w:val="clear" w:color="auto" w:fill="FFFFFF"/>
        </w:rPr>
        <w:t xml:space="preserve"> Public accommodations </w:t>
      </w:r>
      <w:r w:rsidR="00E77821" w:rsidRPr="00413148">
        <w:rPr>
          <w:shd w:val="clear" w:color="auto" w:fill="FFFFFF"/>
        </w:rPr>
        <w:t>include “providers, whether licensed or unlicensed, of goods, services, facilities, accommodations, advantages or privileges of any kind, and places, whether licensed or unlicensed, where goods</w:t>
      </w:r>
      <w:r w:rsidR="18DCD504" w:rsidRPr="00413148">
        <w:t xml:space="preserve">, </w:t>
      </w:r>
      <w:r w:rsidR="18DCD504" w:rsidRPr="00413148">
        <w:rPr>
          <w:shd w:val="clear" w:color="auto" w:fill="FFFFFF"/>
        </w:rPr>
        <w:t>services, facilities, accommodations, advantages or privileges of any kind are extended, offered, sold, or otherwise made available.</w:t>
      </w:r>
      <w:r w:rsidR="00E77821" w:rsidRPr="00413148">
        <w:rPr>
          <w:shd w:val="clear" w:color="auto" w:fill="FFFFFF"/>
        </w:rPr>
        <w:t>”</w:t>
      </w:r>
      <w:r w:rsidR="00E77821" w:rsidRPr="00413148">
        <w:rPr>
          <w:rStyle w:val="FootnoteReference"/>
          <w:shd w:val="clear" w:color="auto" w:fill="FFFFFF"/>
        </w:rPr>
        <w:footnoteReference w:id="146"/>
      </w:r>
      <w:r w:rsidR="18DCD504" w:rsidRPr="00413148">
        <w:t xml:space="preserve"> </w:t>
      </w:r>
    </w:p>
    <w:p w14:paraId="395E7D0F" w14:textId="77777777" w:rsidR="003C2B68" w:rsidRPr="00413148" w:rsidRDefault="003C2B68" w:rsidP="000E5671">
      <w:pPr>
        <w:pStyle w:val="FootnoteText"/>
        <w:spacing w:line="240" w:lineRule="auto"/>
      </w:pPr>
    </w:p>
    <w:p w14:paraId="78F07F23" w14:textId="77777777" w:rsidR="00790BE1" w:rsidRPr="00413148" w:rsidRDefault="00790BE1" w:rsidP="000E5671">
      <w:r w:rsidRPr="00413148">
        <w:t xml:space="preserve">It is unlawful for </w:t>
      </w:r>
      <w:r w:rsidR="00DC03C4" w:rsidRPr="00413148">
        <w:t>places and</w:t>
      </w:r>
      <w:r w:rsidRPr="00413148">
        <w:t xml:space="preserve"> providers of public accommodations, their employees, or their agents to directly or indirectly deny any person, or communicate an intent to deny any person, the services, advantages, </w:t>
      </w:r>
      <w:r w:rsidRPr="00413148">
        <w:lastRenderedPageBreak/>
        <w:t>facilities, or privileges of a public accommodation because of their actual or perceived disability, or to make their patronage feel unwelcome</w:t>
      </w:r>
      <w:r w:rsidR="00D410DB" w:rsidRPr="00413148">
        <w:t xml:space="preserve"> because of their actual or perceived disability</w:t>
      </w:r>
      <w:r w:rsidRPr="00413148">
        <w:t>.</w:t>
      </w:r>
      <w:r w:rsidRPr="00413148">
        <w:rPr>
          <w:rStyle w:val="FootnoteReference"/>
        </w:rPr>
        <w:footnoteReference w:id="147"/>
      </w:r>
      <w:r w:rsidRPr="00413148">
        <w:t xml:space="preserve"> </w:t>
      </w:r>
    </w:p>
    <w:p w14:paraId="3D4A67FD" w14:textId="77777777" w:rsidR="00F04705" w:rsidRPr="00413148" w:rsidRDefault="00F04705" w:rsidP="000E5671"/>
    <w:p w14:paraId="6A841B91" w14:textId="77777777" w:rsidR="00F04705" w:rsidRPr="00413148" w:rsidRDefault="00F04705" w:rsidP="00113630">
      <w:pPr>
        <w:pStyle w:val="Heading3"/>
        <w:numPr>
          <w:ilvl w:val="0"/>
          <w:numId w:val="9"/>
        </w:numPr>
        <w:spacing w:before="0" w:after="0"/>
        <w:ind w:left="900" w:hanging="360"/>
        <w:rPr>
          <w:rFonts w:cs="Arial"/>
          <w:b/>
          <w:bCs/>
          <w:color w:val="4B0082"/>
          <w:sz w:val="32"/>
          <w:szCs w:val="32"/>
        </w:rPr>
      </w:pPr>
      <w:bookmarkStart w:id="34" w:name="_Toc218083754"/>
      <w:r w:rsidRPr="00413148">
        <w:rPr>
          <w:rFonts w:cs="Arial"/>
          <w:b/>
          <w:bCs/>
          <w:color w:val="4B0082"/>
          <w:sz w:val="32"/>
          <w:szCs w:val="32"/>
        </w:rPr>
        <w:t>Postings, Applications, and Selection Processes</w:t>
      </w:r>
      <w:bookmarkEnd w:id="34"/>
    </w:p>
    <w:p w14:paraId="73F33244" w14:textId="77777777" w:rsidR="000E5671" w:rsidRPr="00413148" w:rsidRDefault="000E5671" w:rsidP="000E5671"/>
    <w:p w14:paraId="69226E87" w14:textId="77777777" w:rsidR="00F04705" w:rsidRPr="00413148" w:rsidRDefault="00F04705" w:rsidP="00113630">
      <w:pPr>
        <w:pStyle w:val="Heading4"/>
        <w:numPr>
          <w:ilvl w:val="0"/>
          <w:numId w:val="10"/>
        </w:numPr>
        <w:spacing w:before="0" w:after="0"/>
        <w:ind w:left="1440" w:hanging="540"/>
        <w:rPr>
          <w:rFonts w:cs="Arial"/>
          <w:b/>
          <w:bCs/>
          <w:color w:val="4B0082"/>
        </w:rPr>
      </w:pPr>
      <w:r w:rsidRPr="00413148">
        <w:rPr>
          <w:rFonts w:cs="Arial"/>
          <w:b/>
          <w:bCs/>
          <w:color w:val="4B0082"/>
        </w:rPr>
        <w:t>Postings</w:t>
      </w:r>
    </w:p>
    <w:p w14:paraId="68F71D9D" w14:textId="77777777" w:rsidR="00F04705" w:rsidRPr="00413148" w:rsidRDefault="00F04705" w:rsidP="000E5671"/>
    <w:p w14:paraId="6B37F171" w14:textId="77777777" w:rsidR="00F04705" w:rsidRPr="00413148" w:rsidRDefault="00F04705" w:rsidP="000E5671">
      <w:r w:rsidRPr="00413148">
        <w:t>Under the NYCHRL, it is unlawful for a place or provider of public accommodation to “directly or indirectly</w:t>
      </w:r>
      <w:r w:rsidR="003E7291" w:rsidRPr="00413148">
        <w:t xml:space="preserve"> . . .</w:t>
      </w:r>
      <w:r w:rsidRPr="00413148">
        <w:t xml:space="preserve"> make any declaration, publish, circulate, issue, display, post or mail any written or printed communication, notice or advertisement”</w:t>
      </w:r>
      <w:r w:rsidRPr="00413148">
        <w:rPr>
          <w:rStyle w:val="FootnoteReference"/>
        </w:rPr>
        <w:footnoteReference w:id="148"/>
      </w:r>
      <w:r w:rsidRPr="00413148">
        <w:t xml:space="preserve"> </w:t>
      </w:r>
      <w:r w:rsidR="00B57BAC" w:rsidRPr="00413148">
        <w:t>which</w:t>
      </w:r>
      <w:r w:rsidRPr="00413148">
        <w:t xml:space="preserve"> communicates that the full and equal enjoyment of any of the accommodations would “be refused, withheld from, or denied to any person”</w:t>
      </w:r>
      <w:r w:rsidRPr="00413148">
        <w:rPr>
          <w:rStyle w:val="FootnoteReference"/>
        </w:rPr>
        <w:footnoteReference w:id="149"/>
      </w:r>
      <w:r w:rsidRPr="00413148">
        <w:t xml:space="preserve"> on account of their disability or that the patronage of an individual with a disability is “unwelcome, objectionable, not acceptable, undesired, or unsolicited.”</w:t>
      </w:r>
      <w:r w:rsidRPr="00413148">
        <w:rPr>
          <w:rStyle w:val="FootnoteReference"/>
        </w:rPr>
        <w:footnoteReference w:id="150"/>
      </w:r>
      <w:r w:rsidRPr="00413148">
        <w:t xml:space="preserve"> </w:t>
      </w:r>
    </w:p>
    <w:p w14:paraId="5C365AFC" w14:textId="678BE4A2" w:rsidR="00B3295B" w:rsidRPr="00413148" w:rsidRDefault="00B3295B" w:rsidP="000E5671"/>
    <w:p w14:paraId="2C4D54C8" w14:textId="77777777" w:rsidR="00F04705" w:rsidRPr="00413148" w:rsidRDefault="577F71FF" w:rsidP="00113630">
      <w:pPr>
        <w:pStyle w:val="Heading4"/>
        <w:numPr>
          <w:ilvl w:val="0"/>
          <w:numId w:val="10"/>
        </w:numPr>
        <w:spacing w:before="0" w:after="0"/>
        <w:ind w:left="1440" w:hanging="540"/>
        <w:rPr>
          <w:rFonts w:cs="Arial"/>
          <w:b/>
          <w:bCs/>
          <w:color w:val="4B0082"/>
        </w:rPr>
      </w:pPr>
      <w:r w:rsidRPr="00413148">
        <w:rPr>
          <w:rFonts w:cs="Arial"/>
          <w:b/>
          <w:bCs/>
          <w:color w:val="4B0082"/>
        </w:rPr>
        <w:t xml:space="preserve">Criteria for </w:t>
      </w:r>
      <w:r w:rsidR="00F46784" w:rsidRPr="00413148">
        <w:rPr>
          <w:rFonts w:cs="Arial"/>
          <w:b/>
          <w:bCs/>
          <w:color w:val="4B0082"/>
        </w:rPr>
        <w:t xml:space="preserve">Use and Enjoyment of </w:t>
      </w:r>
      <w:r w:rsidR="0043542F" w:rsidRPr="00413148">
        <w:rPr>
          <w:rFonts w:cs="Arial"/>
          <w:b/>
          <w:bCs/>
          <w:color w:val="4B0082"/>
        </w:rPr>
        <w:t xml:space="preserve">Services </w:t>
      </w:r>
      <w:r w:rsidR="0056531D" w:rsidRPr="00413148">
        <w:rPr>
          <w:rFonts w:cs="Arial"/>
          <w:b/>
          <w:bCs/>
          <w:color w:val="4B0082"/>
        </w:rPr>
        <w:t>and</w:t>
      </w:r>
      <w:r w:rsidR="0043542F" w:rsidRPr="00413148">
        <w:rPr>
          <w:rFonts w:cs="Arial"/>
          <w:b/>
          <w:bCs/>
          <w:color w:val="4B0082"/>
        </w:rPr>
        <w:t xml:space="preserve"> Facilities</w:t>
      </w:r>
    </w:p>
    <w:p w14:paraId="2DBA5154" w14:textId="77777777" w:rsidR="00F04705" w:rsidRPr="00413148" w:rsidRDefault="00F04705" w:rsidP="000E5671"/>
    <w:p w14:paraId="5FCEC0BB" w14:textId="77777777" w:rsidR="00F04705" w:rsidRPr="00413148" w:rsidRDefault="3E53C940" w:rsidP="000E5671">
      <w:r w:rsidRPr="00413148">
        <w:t>The NYCHRL prohibits place</w:t>
      </w:r>
      <w:r w:rsidR="00136F2B" w:rsidRPr="00413148">
        <w:t>s</w:t>
      </w:r>
      <w:r w:rsidRPr="00413148">
        <w:t xml:space="preserve"> </w:t>
      </w:r>
      <w:r w:rsidR="0043542F" w:rsidRPr="00413148">
        <w:t>and</w:t>
      </w:r>
      <w:r w:rsidRPr="00413148">
        <w:t xml:space="preserve"> provider</w:t>
      </w:r>
      <w:r w:rsidR="00136F2B" w:rsidRPr="00413148">
        <w:t>s</w:t>
      </w:r>
      <w:r w:rsidRPr="00413148">
        <w:t xml:space="preserve"> of public accommodation</w:t>
      </w:r>
      <w:r w:rsidR="00136F2B" w:rsidRPr="00413148">
        <w:t>s</w:t>
      </w:r>
      <w:r w:rsidRPr="00413148">
        <w:t xml:space="preserve"> from </w:t>
      </w:r>
      <w:r w:rsidR="4F2B4C03" w:rsidRPr="00413148">
        <w:t>directly or indirectly expressing</w:t>
      </w:r>
      <w:r w:rsidR="00A038E4" w:rsidRPr="00413148">
        <w:t xml:space="preserve"> that</w:t>
      </w:r>
      <w:r w:rsidR="4F2B4C03" w:rsidRPr="00413148">
        <w:t xml:space="preserve"> </w:t>
      </w:r>
      <w:r w:rsidRPr="00413148">
        <w:t xml:space="preserve">patronage of an individual with a disability </w:t>
      </w:r>
      <w:r w:rsidR="731CACC2" w:rsidRPr="00413148">
        <w:t xml:space="preserve">is not welcome, as </w:t>
      </w:r>
      <w:r w:rsidR="003F789B" w:rsidRPr="00413148">
        <w:t>describ</w:t>
      </w:r>
      <w:r w:rsidR="731CACC2" w:rsidRPr="00413148">
        <w:t>ed</w:t>
      </w:r>
      <w:r w:rsidR="00E00308" w:rsidRPr="00413148">
        <w:t xml:space="preserve"> more fully</w:t>
      </w:r>
      <w:r w:rsidR="731CACC2" w:rsidRPr="00413148">
        <w:t xml:space="preserve"> in the above section on postings.</w:t>
      </w:r>
      <w:r w:rsidR="00F04705" w:rsidRPr="00413148">
        <w:rPr>
          <w:rStyle w:val="FootnoteReference"/>
        </w:rPr>
        <w:footnoteReference w:id="151"/>
      </w:r>
      <w:r w:rsidRPr="00413148">
        <w:t xml:space="preserve"> </w:t>
      </w:r>
    </w:p>
    <w:p w14:paraId="19C4AF23" w14:textId="77777777" w:rsidR="7080590F" w:rsidRPr="00413148" w:rsidRDefault="7080590F" w:rsidP="000E5671"/>
    <w:p w14:paraId="297F8617" w14:textId="4D97FF3B" w:rsidR="4DF500BC" w:rsidRPr="00413148" w:rsidRDefault="6089F9D0" w:rsidP="000E5671">
      <w:r w:rsidRPr="00413148">
        <w:lastRenderedPageBreak/>
        <w:t xml:space="preserve">Individuals cannot be </w:t>
      </w:r>
      <w:r w:rsidR="59F0622D" w:rsidRPr="00413148">
        <w:t>refused entry to</w:t>
      </w:r>
      <w:r w:rsidR="334CD832" w:rsidRPr="00413148">
        <w:t>,</w:t>
      </w:r>
      <w:r w:rsidR="59F0622D" w:rsidRPr="00413148">
        <w:t xml:space="preserve"> or denied the services of</w:t>
      </w:r>
      <w:r w:rsidR="5FB57E75" w:rsidRPr="00413148">
        <w:t>,</w:t>
      </w:r>
      <w:r w:rsidR="59F0622D" w:rsidRPr="00413148">
        <w:t xml:space="preserve"> a public accommodation </w:t>
      </w:r>
      <w:r w:rsidR="0096DBBC" w:rsidRPr="00413148">
        <w:t>due to their disability.</w:t>
      </w:r>
      <w:r w:rsidR="00796966" w:rsidRPr="00413148">
        <w:rPr>
          <w:rStyle w:val="FootnoteReference"/>
        </w:rPr>
        <w:footnoteReference w:id="152"/>
      </w:r>
      <w:r w:rsidR="0096DBBC" w:rsidRPr="00413148">
        <w:t xml:space="preserve"> Similarly, </w:t>
      </w:r>
      <w:r w:rsidR="21EB660D" w:rsidRPr="00413148">
        <w:t xml:space="preserve">it </w:t>
      </w:r>
      <w:r w:rsidR="384648C2" w:rsidRPr="00413148">
        <w:t>i</w:t>
      </w:r>
      <w:r w:rsidR="21EB660D" w:rsidRPr="00413148">
        <w:t xml:space="preserve">s unlawful for </w:t>
      </w:r>
      <w:r w:rsidR="0096DBBC" w:rsidRPr="00413148">
        <w:t xml:space="preserve">places and providers of public accommodations </w:t>
      </w:r>
      <w:r w:rsidR="21EB660D" w:rsidRPr="00413148">
        <w:t>to</w:t>
      </w:r>
      <w:r w:rsidRPr="00413148">
        <w:t xml:space="preserve"> require</w:t>
      </w:r>
      <w:r w:rsidR="21EB660D" w:rsidRPr="00413148">
        <w:t xml:space="preserve"> that individuals</w:t>
      </w:r>
      <w:r w:rsidRPr="00413148">
        <w:t xml:space="preserve"> provide information about a disability as a </w:t>
      </w:r>
      <w:r w:rsidR="3CB1EE27" w:rsidRPr="00413148">
        <w:t>basis</w:t>
      </w:r>
      <w:r w:rsidRPr="00413148">
        <w:t xml:space="preserve"> for utilizing the services o</w:t>
      </w:r>
      <w:r w:rsidR="11B06C78" w:rsidRPr="00413148">
        <w:t>f or entering a public accommodation.</w:t>
      </w:r>
      <w:r w:rsidR="007A2235" w:rsidRPr="00413148">
        <w:rPr>
          <w:rStyle w:val="FootnoteReference"/>
        </w:rPr>
        <w:footnoteReference w:id="153"/>
      </w:r>
      <w:r w:rsidR="11B06C78" w:rsidRPr="00413148">
        <w:t xml:space="preserve"> </w:t>
      </w:r>
      <w:r w:rsidR="09F30087" w:rsidRPr="00413148">
        <w:t xml:space="preserve">Additionally, while it may be unlawful for a public accommodation to ask a potential patron if they have a disability, it is not </w:t>
      </w:r>
      <w:r w:rsidR="4F4DDB52" w:rsidRPr="00413148">
        <w:t>n</w:t>
      </w:r>
      <w:r w:rsidR="61337234" w:rsidRPr="00413148">
        <w:t xml:space="preserve">ecessarily </w:t>
      </w:r>
      <w:r w:rsidR="09F30087" w:rsidRPr="00413148">
        <w:t xml:space="preserve">unlawful for a public accommodation to ask whether a potential patron can avail themselves of </w:t>
      </w:r>
      <w:r w:rsidR="6443DA42" w:rsidRPr="00413148">
        <w:t xml:space="preserve">available </w:t>
      </w:r>
      <w:r w:rsidR="09F30087" w:rsidRPr="00413148">
        <w:t>services with or without an accommodation.</w:t>
      </w:r>
      <w:r w:rsidR="007A2235" w:rsidRPr="00413148">
        <w:rPr>
          <w:rStyle w:val="FootnoteReference"/>
        </w:rPr>
        <w:footnoteReference w:id="154"/>
      </w:r>
    </w:p>
    <w:p w14:paraId="1C47F8EC" w14:textId="77777777" w:rsidR="007B3023" w:rsidRPr="00413148" w:rsidRDefault="007B3023" w:rsidP="000E5671"/>
    <w:p w14:paraId="1025440A" w14:textId="5E4334BB" w:rsidR="00F04705" w:rsidRPr="00413148" w:rsidRDefault="00F04705" w:rsidP="00113630">
      <w:pPr>
        <w:pStyle w:val="Heading3"/>
        <w:numPr>
          <w:ilvl w:val="0"/>
          <w:numId w:val="9"/>
        </w:numPr>
        <w:spacing w:before="0" w:after="0"/>
        <w:ind w:left="900" w:hanging="360"/>
        <w:rPr>
          <w:rFonts w:cs="Arial"/>
          <w:b/>
          <w:bCs/>
          <w:color w:val="4B0082"/>
          <w:sz w:val="32"/>
          <w:szCs w:val="32"/>
        </w:rPr>
      </w:pPr>
      <w:bookmarkStart w:id="35" w:name="_Toc218083755"/>
      <w:r w:rsidRPr="00413148">
        <w:rPr>
          <w:rFonts w:cs="Arial"/>
          <w:b/>
          <w:bCs/>
          <w:color w:val="4B0082"/>
          <w:sz w:val="32"/>
          <w:szCs w:val="32"/>
        </w:rPr>
        <w:t>Reasonable Accommodations in Public Accommodations</w:t>
      </w:r>
      <w:bookmarkEnd w:id="35"/>
    </w:p>
    <w:p w14:paraId="2978EB34" w14:textId="77777777" w:rsidR="000E5671" w:rsidRPr="00413148" w:rsidRDefault="000E5671" w:rsidP="000E5671"/>
    <w:p w14:paraId="00AFDFFF" w14:textId="77777777" w:rsidR="00F04705" w:rsidRPr="00413148" w:rsidRDefault="00F04705" w:rsidP="00113630">
      <w:pPr>
        <w:pStyle w:val="Heading4"/>
        <w:numPr>
          <w:ilvl w:val="1"/>
          <w:numId w:val="9"/>
        </w:numPr>
        <w:spacing w:before="0" w:after="0"/>
        <w:ind w:left="1440" w:hanging="540"/>
        <w:rPr>
          <w:rFonts w:cs="Arial"/>
          <w:b/>
          <w:bCs/>
          <w:color w:val="4B0082"/>
        </w:rPr>
      </w:pPr>
      <w:r w:rsidRPr="00413148">
        <w:rPr>
          <w:rFonts w:cs="Arial"/>
          <w:b/>
          <w:bCs/>
          <w:color w:val="4B0082"/>
        </w:rPr>
        <w:t>Physical Space and Technology</w:t>
      </w:r>
    </w:p>
    <w:p w14:paraId="7630DB20" w14:textId="77777777" w:rsidR="00F04705" w:rsidRPr="00413148" w:rsidRDefault="00F04705" w:rsidP="000E5671"/>
    <w:p w14:paraId="4B53623F" w14:textId="53E2E5D1" w:rsidR="00F04705" w:rsidRPr="00413148" w:rsidRDefault="3E53C940" w:rsidP="000E5671">
      <w:r w:rsidRPr="00413148">
        <w:t xml:space="preserve">Places and providers of public accommodation are required to provide reasonable accommodations for people with disabilities to allow them </w:t>
      </w:r>
      <w:r w:rsidR="000F2F48" w:rsidRPr="00413148">
        <w:t>“</w:t>
      </w:r>
      <w:r w:rsidR="002C45F8" w:rsidRPr="00413148">
        <w:t>the full and equal enjoyment, on equal terms and conditions, of any of the accommodations, advantages, services, facilities or privileges of the place or provider of public accommodation</w:t>
      </w:r>
      <w:r w:rsidR="000F2F48" w:rsidRPr="00413148">
        <w:t>.”</w:t>
      </w:r>
      <w:r w:rsidR="000F2F48" w:rsidRPr="00413148">
        <w:rPr>
          <w:rStyle w:val="FootnoteReference"/>
        </w:rPr>
        <w:footnoteReference w:id="155"/>
      </w:r>
      <w:r w:rsidRPr="00413148">
        <w:t xml:space="preserve"> These types of accommodation</w:t>
      </w:r>
      <w:r w:rsidR="484A0B7B" w:rsidRPr="00413148">
        <w:t>s</w:t>
      </w:r>
      <w:r w:rsidRPr="00413148">
        <w:t xml:space="preserve"> can include alterations to the existing physical space and structures or the use of assistive technology</w:t>
      </w:r>
      <w:r w:rsidR="00631CC3" w:rsidRPr="00413148">
        <w:t>,</w:t>
      </w:r>
      <w:r w:rsidR="47585E1B" w:rsidRPr="00413148">
        <w:t xml:space="preserve"> unless they cause an undue hardship</w:t>
      </w:r>
      <w:r w:rsidRPr="00413148">
        <w:t>.</w:t>
      </w:r>
      <w:r w:rsidR="309C406F" w:rsidRPr="00413148">
        <w:t xml:space="preserve"> For example, in restaurants, there should be space to seat individuals that use wheelchairs. </w:t>
      </w:r>
      <w:r w:rsidR="1F1D8234" w:rsidRPr="00413148">
        <w:t xml:space="preserve">Stores, movie theaters, and other public accommodation entrances should be </w:t>
      </w:r>
      <w:r w:rsidR="1F1D8234" w:rsidRPr="00413148">
        <w:lastRenderedPageBreak/>
        <w:t>accessible to individuals using canes or wheelchairs</w:t>
      </w:r>
      <w:r w:rsidR="00E47938" w:rsidRPr="00413148">
        <w:t>, whic</w:t>
      </w:r>
      <w:r w:rsidR="00DD789C" w:rsidRPr="00413148">
        <w:t>h</w:t>
      </w:r>
      <w:r w:rsidR="00E47938" w:rsidRPr="00413148">
        <w:t xml:space="preserve"> include</w:t>
      </w:r>
      <w:r w:rsidR="00DD789C" w:rsidRPr="00413148">
        <w:t>s</w:t>
      </w:r>
      <w:r w:rsidR="00E47938" w:rsidRPr="00413148">
        <w:t xml:space="preserve"> the installation of ramps</w:t>
      </w:r>
      <w:r w:rsidR="00DD789C" w:rsidRPr="00413148">
        <w:t xml:space="preserve"> </w:t>
      </w:r>
      <w:r w:rsidR="0062545B" w:rsidRPr="00413148">
        <w:t>or</w:t>
      </w:r>
      <w:r w:rsidR="00DD789C" w:rsidRPr="00413148">
        <w:t xml:space="preserve"> lifts, unless doing so</w:t>
      </w:r>
      <w:r w:rsidR="009E0AE5" w:rsidRPr="00413148">
        <w:t xml:space="preserve"> would cause the public accommodation an undue hardship</w:t>
      </w:r>
      <w:r w:rsidR="1F1D8234" w:rsidRPr="00413148">
        <w:t xml:space="preserve">. </w:t>
      </w:r>
      <w:r w:rsidR="00F43BC0" w:rsidRPr="00413148">
        <w:t xml:space="preserve">Businesses </w:t>
      </w:r>
      <w:r w:rsidR="00F43BC0" w:rsidRPr="00413148">
        <w:rPr>
          <w:rStyle w:val="CommentReference"/>
          <w:rFonts w:cs="Arial"/>
          <w:sz w:val="32"/>
          <w:szCs w:val="32"/>
        </w:rPr>
        <w:t>that use websites should ensure that their websites are designed to be compatible with screen-reading technology.</w:t>
      </w:r>
    </w:p>
    <w:p w14:paraId="58ECE76C" w14:textId="77777777" w:rsidR="00790BE1" w:rsidRPr="00413148" w:rsidRDefault="00790BE1" w:rsidP="000E5671"/>
    <w:p w14:paraId="13770097" w14:textId="77777777" w:rsidR="006C7287" w:rsidRPr="00413148" w:rsidRDefault="007A2B56" w:rsidP="00113630">
      <w:pPr>
        <w:pStyle w:val="Heading4"/>
        <w:numPr>
          <w:ilvl w:val="1"/>
          <w:numId w:val="9"/>
        </w:numPr>
        <w:spacing w:before="0" w:after="0"/>
        <w:ind w:left="1440" w:hanging="540"/>
        <w:rPr>
          <w:color w:val="4B0082"/>
        </w:rPr>
      </w:pPr>
      <w:r w:rsidRPr="00413148">
        <w:rPr>
          <w:b/>
          <w:bCs/>
          <w:color w:val="4B0082"/>
        </w:rPr>
        <w:t>Service Animals</w:t>
      </w:r>
    </w:p>
    <w:p w14:paraId="2B69FBA2" w14:textId="77777777" w:rsidR="00E224FA" w:rsidRPr="00413148" w:rsidRDefault="00E224FA" w:rsidP="000E5671"/>
    <w:p w14:paraId="575E58FA" w14:textId="36F9E243" w:rsidR="000A2A57" w:rsidRPr="00413148" w:rsidRDefault="000A2A57" w:rsidP="000E5671">
      <w:r w:rsidRPr="00413148">
        <w:t>Service animals are not pets.</w:t>
      </w:r>
      <w:r w:rsidR="00BA5F44" w:rsidRPr="00413148">
        <w:t xml:space="preserve"> A service animal is an animal that does work or performs tasks for an individual with a disability.</w:t>
      </w:r>
      <w:r w:rsidR="00BA5F44" w:rsidRPr="00413148">
        <w:rPr>
          <w:rStyle w:val="FootnoteReference"/>
        </w:rPr>
        <w:footnoteReference w:id="156"/>
      </w:r>
      <w:r w:rsidR="00BA5F44" w:rsidRPr="00413148">
        <w:t xml:space="preserve"> </w:t>
      </w:r>
      <w:r w:rsidRPr="00413148">
        <w:t xml:space="preserve">Public accommodations are required to accommodate </w:t>
      </w:r>
      <w:r w:rsidR="00762B81" w:rsidRPr="00413148">
        <w:t xml:space="preserve">new and existing </w:t>
      </w:r>
      <w:r w:rsidRPr="00413148">
        <w:t>patrons with disabilities who rely on service animals by providing exceptions to “no pet” or “no animal” policies. If covered entities have policies</w:t>
      </w:r>
      <w:r w:rsidR="00BA5F44" w:rsidRPr="00413148">
        <w:t xml:space="preserve"> prohibiting</w:t>
      </w:r>
      <w:r w:rsidR="00495D74" w:rsidRPr="00413148">
        <w:t xml:space="preserve"> animals, limiting the breed, types, or categories of animals allowed, or</w:t>
      </w:r>
      <w:r w:rsidRPr="00413148">
        <w:t xml:space="preserve"> </w:t>
      </w:r>
      <w:r w:rsidR="0088332C" w:rsidRPr="00413148">
        <w:t xml:space="preserve">that </w:t>
      </w:r>
      <w:r w:rsidRPr="00413148">
        <w:t>charge fees</w:t>
      </w:r>
      <w:r w:rsidR="0088332C" w:rsidRPr="00413148">
        <w:t xml:space="preserve"> related to patrons bringing animals,</w:t>
      </w:r>
      <w:r w:rsidRPr="00413148">
        <w:t xml:space="preserve"> exceptions to these policies are required</w:t>
      </w:r>
      <w:r w:rsidR="006556E9" w:rsidRPr="00413148">
        <w:t xml:space="preserve"> when a</w:t>
      </w:r>
      <w:r w:rsidR="00762B81" w:rsidRPr="00413148">
        <w:t>n individual</w:t>
      </w:r>
      <w:r w:rsidR="006556E9" w:rsidRPr="00413148">
        <w:t xml:space="preserve"> seeks to enter or use a public accommodation with their service animal</w:t>
      </w:r>
      <w:r w:rsidR="00631CC3" w:rsidRPr="00413148">
        <w:t>,</w:t>
      </w:r>
      <w:r w:rsidRPr="00413148">
        <w:t xml:space="preserve"> unless such exceptions would cause an undue hardship</w:t>
      </w:r>
      <w:r w:rsidR="006556E9" w:rsidRPr="00413148">
        <w:t>.</w:t>
      </w:r>
    </w:p>
    <w:p w14:paraId="59884A88" w14:textId="77777777" w:rsidR="000A2A57" w:rsidRPr="00413148" w:rsidRDefault="000A2A57" w:rsidP="000E5671"/>
    <w:p w14:paraId="5CA029D5" w14:textId="77777777" w:rsidR="000A2A57" w:rsidRPr="00413148" w:rsidRDefault="74BB47A0" w:rsidP="000E5671">
      <w:r w:rsidRPr="00413148">
        <w:t>Allowing a</w:t>
      </w:r>
      <w:r w:rsidR="6B9BDF12" w:rsidRPr="00413148">
        <w:t>n individual</w:t>
      </w:r>
      <w:r w:rsidR="5FFFB539" w:rsidRPr="00413148">
        <w:t xml:space="preserve"> t</w:t>
      </w:r>
      <w:r w:rsidRPr="00413148">
        <w:t xml:space="preserve">o have a service animal in </w:t>
      </w:r>
      <w:r w:rsidR="7CF6868B" w:rsidRPr="00413148">
        <w:t>places of public accommodati</w:t>
      </w:r>
      <w:r w:rsidR="198E2F28" w:rsidRPr="00413148">
        <w:t>o</w:t>
      </w:r>
      <w:r w:rsidR="7CF6868B" w:rsidRPr="00413148">
        <w:t xml:space="preserve">n </w:t>
      </w:r>
      <w:r w:rsidRPr="00413148">
        <w:t xml:space="preserve">will rarely cause an undue hardship, even where </w:t>
      </w:r>
      <w:r w:rsidR="5A843575" w:rsidRPr="00413148">
        <w:t>no pets are permitted</w:t>
      </w:r>
      <w:r w:rsidRPr="00413148">
        <w:t xml:space="preserve">. The </w:t>
      </w:r>
      <w:r w:rsidR="296B7FBA" w:rsidRPr="00413148">
        <w:t xml:space="preserve">speculative </w:t>
      </w:r>
      <w:r w:rsidRPr="00413148">
        <w:t xml:space="preserve">possibility of incidental property damage does not usually constitute an undue hardship. Where a particular animal creates legitimate health or safety concerns or creates a nuisance, the public accommodation must engage in a cooperative dialogue with the </w:t>
      </w:r>
      <w:r w:rsidR="6B9BDF12" w:rsidRPr="00413148">
        <w:t>individual</w:t>
      </w:r>
      <w:r w:rsidRPr="00413148">
        <w:t xml:space="preserve"> using the service animal to determine potential alternatives</w:t>
      </w:r>
      <w:r w:rsidR="77BF8782" w:rsidRPr="00413148">
        <w:t>,</w:t>
      </w:r>
      <w:r w:rsidRPr="00413148">
        <w:t xml:space="preserve"> or pathways to address the legitimate concern, before requiring that the </w:t>
      </w:r>
      <w:r w:rsidR="296B7FBA" w:rsidRPr="00413148">
        <w:t>patron</w:t>
      </w:r>
      <w:r w:rsidRPr="00413148">
        <w:t xml:space="preserve"> remove the service animal or taking other adverse action.</w:t>
      </w:r>
      <w:r w:rsidR="000A2A57" w:rsidRPr="00413148">
        <w:rPr>
          <w:rStyle w:val="FootnoteReference"/>
        </w:rPr>
        <w:footnoteReference w:id="157"/>
      </w:r>
      <w:r w:rsidRPr="00413148">
        <w:t xml:space="preserve"> Where city, state, or federal laws </w:t>
      </w:r>
      <w:r w:rsidRPr="00413148">
        <w:lastRenderedPageBreak/>
        <w:t xml:space="preserve">prohibit </w:t>
      </w:r>
      <w:r w:rsidR="00293F50" w:rsidRPr="00413148">
        <w:t>c</w:t>
      </w:r>
      <w:r w:rsidRPr="00413148">
        <w:t xml:space="preserve">ertain animals, it will be an undue hardship for a covered entity to permit </w:t>
      </w:r>
      <w:r w:rsidR="2ADF459A" w:rsidRPr="00413148">
        <w:t>that</w:t>
      </w:r>
      <w:r w:rsidRPr="00413148">
        <w:t xml:space="preserve"> prohibited animal as a service</w:t>
      </w:r>
      <w:r w:rsidR="13EC1AFC" w:rsidRPr="00413148">
        <w:t xml:space="preserve"> animal</w:t>
      </w:r>
      <w:r w:rsidRPr="00413148">
        <w:t>.</w:t>
      </w:r>
      <w:r w:rsidR="000A2A57" w:rsidRPr="00413148">
        <w:rPr>
          <w:rStyle w:val="FootnoteReference"/>
        </w:rPr>
        <w:footnoteReference w:id="158"/>
      </w:r>
    </w:p>
    <w:p w14:paraId="0771B5D6" w14:textId="77777777" w:rsidR="000A2A57" w:rsidRPr="00413148" w:rsidRDefault="000A2A57" w:rsidP="000E5671"/>
    <w:p w14:paraId="305983F9" w14:textId="17DAC897" w:rsidR="000A2A57" w:rsidRPr="00413148" w:rsidRDefault="74BB47A0" w:rsidP="000E5671">
      <w:r w:rsidRPr="00413148">
        <w:t>When a p</w:t>
      </w:r>
      <w:r w:rsidR="13EC1AFC" w:rsidRPr="00413148">
        <w:t>atron</w:t>
      </w:r>
      <w:r w:rsidRPr="00413148">
        <w:t xml:space="preserve"> seeks to have a service animal</w:t>
      </w:r>
      <w:r w:rsidR="13EC1AFC" w:rsidRPr="00413148">
        <w:t xml:space="preserve"> accompany them</w:t>
      </w:r>
      <w:r w:rsidRPr="00413148">
        <w:t>, and the person’s disability or the need for the service animal is not apparent,</w:t>
      </w:r>
      <w:r w:rsidR="000A2A57" w:rsidRPr="00413148">
        <w:rPr>
          <w:rStyle w:val="FootnoteReference"/>
        </w:rPr>
        <w:footnoteReference w:id="159"/>
      </w:r>
      <w:r w:rsidRPr="00413148">
        <w:t xml:space="preserve"> the </w:t>
      </w:r>
      <w:r w:rsidR="13EC1AFC" w:rsidRPr="00413148">
        <w:t>public accommodation</w:t>
      </w:r>
      <w:r w:rsidRPr="00413148">
        <w:t xml:space="preserve"> may ask the p</w:t>
      </w:r>
      <w:r w:rsidR="7ADEBB8D" w:rsidRPr="00413148">
        <w:t xml:space="preserve">atron </w:t>
      </w:r>
      <w:r w:rsidR="6ED47AAB" w:rsidRPr="00413148">
        <w:t xml:space="preserve">only </w:t>
      </w:r>
      <w:r w:rsidR="7ADEBB8D" w:rsidRPr="00413148">
        <w:t>two (2) verbal questions</w:t>
      </w:r>
      <w:r w:rsidR="286CFEAB" w:rsidRPr="00413148">
        <w:t xml:space="preserve"> to </w:t>
      </w:r>
      <w:r w:rsidR="3719E0F7" w:rsidRPr="00413148">
        <w:t>confirm</w:t>
      </w:r>
      <w:r w:rsidR="0008060A" w:rsidRPr="00413148">
        <w:t xml:space="preserve"> that</w:t>
      </w:r>
      <w:r w:rsidR="3719E0F7" w:rsidRPr="00413148">
        <w:t>:</w:t>
      </w:r>
      <w:r w:rsidR="286CFEAB" w:rsidRPr="00413148">
        <w:t xml:space="preserve"> </w:t>
      </w:r>
      <w:r w:rsidRPr="00413148">
        <w:t xml:space="preserve"> (1) the person has a disability</w:t>
      </w:r>
      <w:r w:rsidR="286CFEAB" w:rsidRPr="00413148">
        <w:t>, although the individual does not need to disclose their specific diagnosis</w:t>
      </w:r>
      <w:r w:rsidRPr="00413148">
        <w:t>; and (2) the service animal is trained to perform tasks that ameliorate one or more symptoms or effects of the disability.</w:t>
      </w:r>
      <w:r w:rsidRPr="00413148">
        <w:rPr>
          <w:rStyle w:val="CommentReference"/>
          <w:rFonts w:ascii="Verdana" w:hAnsi="Verdana" w:cs="Tahoma"/>
          <w:sz w:val="24"/>
          <w:szCs w:val="24"/>
        </w:rPr>
        <w:t xml:space="preserve"> </w:t>
      </w:r>
      <w:r w:rsidRPr="00413148">
        <w:t>If an individual requests to use or bring a service animal as an accommodation, and if both the individual’s disability and the need for the requested animal are apparent or otherwise known to the covered entity, the covered entity may not inquire about the individual’s disability or the need for the service animal. For example, if an individual who is blind requests an accommodation for the service animal who guides them, public accommodations may not inquire about the p</w:t>
      </w:r>
      <w:r w:rsidR="1E1B266A" w:rsidRPr="00413148">
        <w:t>atron’</w:t>
      </w:r>
      <w:r w:rsidRPr="00413148">
        <w:t>s disability</w:t>
      </w:r>
      <w:r w:rsidR="569DDDF0" w:rsidRPr="00413148">
        <w:t xml:space="preserve"> or</w:t>
      </w:r>
      <w:r w:rsidRPr="00413148">
        <w:t xml:space="preserve"> the animal’s training</w:t>
      </w:r>
      <w:r w:rsidR="1E1B266A" w:rsidRPr="00413148">
        <w:t>,</w:t>
      </w:r>
      <w:r w:rsidRPr="00413148">
        <w:t xml:space="preserve"> require medical documentation to justify the need for the service animal</w:t>
      </w:r>
      <w:r w:rsidR="1E1B266A" w:rsidRPr="00413148">
        <w:t>, or require that the patron show</w:t>
      </w:r>
      <w:r w:rsidR="5F4F48C2" w:rsidRPr="00413148">
        <w:t xml:space="preserve"> the service animal performing its task</w:t>
      </w:r>
      <w:r w:rsidRPr="00413148">
        <w:t>.</w:t>
      </w:r>
    </w:p>
    <w:p w14:paraId="7528A7E4" w14:textId="77777777" w:rsidR="000A2A57" w:rsidRPr="00413148" w:rsidRDefault="000A2A57" w:rsidP="000E5671"/>
    <w:p w14:paraId="33BDDE20" w14:textId="77777777" w:rsidR="007A2B56" w:rsidRPr="00413148" w:rsidRDefault="007E06B5" w:rsidP="000E5671">
      <w:r w:rsidRPr="00413148">
        <w:t>P</w:t>
      </w:r>
      <w:r w:rsidR="000A2A57" w:rsidRPr="00413148">
        <w:t xml:space="preserve">ublic accommodations may not require </w:t>
      </w:r>
      <w:r w:rsidRPr="00413148">
        <w:t>patrons</w:t>
      </w:r>
      <w:r w:rsidR="000A2A57" w:rsidRPr="00413148">
        <w:t xml:space="preserve"> to provide medical records or details of a disability beyond what is </w:t>
      </w:r>
      <w:r w:rsidR="00865CD2" w:rsidRPr="00413148">
        <w:t>necessary</w:t>
      </w:r>
      <w:r w:rsidR="000A2A57" w:rsidRPr="00413148">
        <w:t xml:space="preserve"> to demonstrate the existence of a disability and the relationship between the disability and the</w:t>
      </w:r>
      <w:r w:rsidRPr="00413148">
        <w:t>ir need for a service animal</w:t>
      </w:r>
      <w:r w:rsidR="000A2A57" w:rsidRPr="00413148">
        <w:t>.</w:t>
      </w:r>
    </w:p>
    <w:p w14:paraId="15FF34B0" w14:textId="77777777" w:rsidR="000D027A" w:rsidRPr="00413148" w:rsidRDefault="000D027A" w:rsidP="000E5671"/>
    <w:p w14:paraId="7A950D37" w14:textId="77777777" w:rsidR="000D24BC" w:rsidRPr="00413148" w:rsidRDefault="000D24BC" w:rsidP="00113630">
      <w:pPr>
        <w:pStyle w:val="Heading4"/>
        <w:numPr>
          <w:ilvl w:val="1"/>
          <w:numId w:val="9"/>
        </w:numPr>
        <w:spacing w:before="0" w:after="0"/>
        <w:ind w:left="1440" w:hanging="540"/>
        <w:rPr>
          <w:rFonts w:cs="Arial"/>
          <w:b/>
          <w:bCs/>
          <w:color w:val="4B0082"/>
        </w:rPr>
      </w:pPr>
      <w:r w:rsidRPr="00413148">
        <w:rPr>
          <w:rFonts w:cs="Arial"/>
          <w:b/>
          <w:bCs/>
          <w:color w:val="4B0082"/>
        </w:rPr>
        <w:t>Policies and Practices</w:t>
      </w:r>
    </w:p>
    <w:p w14:paraId="4328E98C" w14:textId="77777777" w:rsidR="000D24BC" w:rsidRPr="00413148" w:rsidRDefault="000D24BC" w:rsidP="000E5671"/>
    <w:p w14:paraId="13946F5D" w14:textId="77777777" w:rsidR="000D24BC" w:rsidRPr="00413148" w:rsidRDefault="3471571A" w:rsidP="000E5671">
      <w:r w:rsidRPr="00413148">
        <w:t xml:space="preserve">Places </w:t>
      </w:r>
      <w:r w:rsidR="009E0AE5" w:rsidRPr="00413148">
        <w:t xml:space="preserve">and providers </w:t>
      </w:r>
      <w:r w:rsidRPr="00413148">
        <w:t>of public accommodation</w:t>
      </w:r>
      <w:r w:rsidR="009E0AE5" w:rsidRPr="00413148">
        <w:t>s</w:t>
      </w:r>
      <w:r w:rsidRPr="00413148">
        <w:t xml:space="preserve"> must also provide reasonable accommodations by making exceptions or changes to </w:t>
      </w:r>
      <w:r w:rsidRPr="00413148">
        <w:lastRenderedPageBreak/>
        <w:t xml:space="preserve">their policies and practices </w:t>
      </w:r>
      <w:r w:rsidR="7AE7FBFD" w:rsidRPr="00413148">
        <w:t>where such alteration</w:t>
      </w:r>
      <w:r w:rsidR="004F19F2" w:rsidRPr="00413148">
        <w:t>s</w:t>
      </w:r>
      <w:r w:rsidR="7AE7FBFD" w:rsidRPr="00413148">
        <w:t xml:space="preserve"> </w:t>
      </w:r>
      <w:r w:rsidRPr="00413148">
        <w:t xml:space="preserve">would allow for equal and independent access for individuals with disabilities. </w:t>
      </w:r>
    </w:p>
    <w:p w14:paraId="4080EB8C" w14:textId="77777777" w:rsidR="000D24BC" w:rsidRPr="00413148" w:rsidRDefault="000D24BC" w:rsidP="000E5671"/>
    <w:p w14:paraId="2CD92C82" w14:textId="77777777" w:rsidR="000D24BC" w:rsidRPr="00413148" w:rsidRDefault="000D24BC" w:rsidP="000E5671">
      <w:r w:rsidRPr="00413148">
        <w:t xml:space="preserve">Places </w:t>
      </w:r>
      <w:r w:rsidR="005C0E51" w:rsidRPr="00413148">
        <w:t xml:space="preserve">and providers </w:t>
      </w:r>
      <w:r w:rsidRPr="00413148">
        <w:t>of public accommodation</w:t>
      </w:r>
      <w:r w:rsidR="005C0E51" w:rsidRPr="00413148">
        <w:t>s</w:t>
      </w:r>
      <w:r w:rsidRPr="00413148">
        <w:t xml:space="preserve"> must </w:t>
      </w:r>
      <w:r w:rsidR="0012547D" w:rsidRPr="00413148">
        <w:t>permit service animals</w:t>
      </w:r>
      <w:r w:rsidR="00116365" w:rsidRPr="00413148">
        <w:t>, even if they otherwise prohibit pets and animals from the public accommodation</w:t>
      </w:r>
      <w:r w:rsidRPr="00413148">
        <w:t>. Allergies or fear of animals by fellow patrons, staff members, or providers of public accommodations generally will not be a sufficient basis for denying access or refusing service to people using service animals. For example, if a person who is allergic to dogs and a person who uses a service dog must spend time in the same room or facility, they should both be accommodated by providing services to them, if possible, in different locations within the facility. Otherwise, individuals with disabilities who use service animals cannot be isolated from other patrons. “[S]</w:t>
      </w:r>
      <w:proofErr w:type="spellStart"/>
      <w:r w:rsidRPr="00413148">
        <w:t>ervice</w:t>
      </w:r>
      <w:proofErr w:type="spellEnd"/>
      <w:r w:rsidRPr="00413148">
        <w:t xml:space="preserve"> animals must be harnessed, leashed, or tethered, unless the individual’s disability prevents using these devices or these devices interfere with the service animal’s safe, effective performance of tasks. In that case, the individual must maintain control of the animal through voice, signal, or other effective controls.”</w:t>
      </w:r>
      <w:r w:rsidRPr="00413148">
        <w:rPr>
          <w:rStyle w:val="FootnoteReference"/>
        </w:rPr>
        <w:footnoteReference w:id="160"/>
      </w:r>
      <w:r w:rsidRPr="00413148">
        <w:t xml:space="preserve"> </w:t>
      </w:r>
      <w:r w:rsidR="00722AF0" w:rsidRPr="00413148">
        <w:t xml:space="preserve">Hypothetical or speculative </w:t>
      </w:r>
      <w:r w:rsidR="00B36E42" w:rsidRPr="00413148">
        <w:t>concern</w:t>
      </w:r>
      <w:r w:rsidR="00722AF0" w:rsidRPr="00413148">
        <w:t xml:space="preserve">s about </w:t>
      </w:r>
      <w:r w:rsidR="00401156" w:rsidRPr="00413148">
        <w:t xml:space="preserve">damage to property or harm to other patrons and employees </w:t>
      </w:r>
      <w:r w:rsidR="004C2304" w:rsidRPr="00413148">
        <w:t>are in</w:t>
      </w:r>
      <w:r w:rsidR="00401156" w:rsidRPr="00413148">
        <w:t xml:space="preserve">sufficient for a place or provider of public accommodation to </w:t>
      </w:r>
      <w:r w:rsidR="00314A40" w:rsidRPr="00413148">
        <w:t>establish an</w:t>
      </w:r>
      <w:r w:rsidR="00401156" w:rsidRPr="00413148">
        <w:t xml:space="preserve"> </w:t>
      </w:r>
      <w:r w:rsidR="00D0786A" w:rsidRPr="00413148">
        <w:t>undue hardship defense.</w:t>
      </w:r>
    </w:p>
    <w:p w14:paraId="228D381E" w14:textId="77777777" w:rsidR="000D24BC" w:rsidRPr="00413148" w:rsidRDefault="000D24BC" w:rsidP="000E5671"/>
    <w:p w14:paraId="1EAE95EA" w14:textId="0D883E6C" w:rsidR="000D24BC" w:rsidRPr="00413148" w:rsidRDefault="00A535E2" w:rsidP="000E5671">
      <w:r w:rsidRPr="00413148">
        <w:t xml:space="preserve">There may be circumstances where a law or regulation prohibits the presence of </w:t>
      </w:r>
      <w:r w:rsidR="00635837" w:rsidRPr="00413148">
        <w:t xml:space="preserve">all animals or </w:t>
      </w:r>
      <w:r w:rsidRPr="00413148">
        <w:t xml:space="preserve">particular animals, and in those instances, service animals </w:t>
      </w:r>
      <w:r w:rsidR="00774052" w:rsidRPr="00413148">
        <w:t xml:space="preserve">of the prohibited type(s) </w:t>
      </w:r>
      <w:r w:rsidRPr="00413148">
        <w:t xml:space="preserve">may </w:t>
      </w:r>
      <w:r w:rsidR="00774052" w:rsidRPr="00413148">
        <w:t>be denied entry</w:t>
      </w:r>
      <w:r w:rsidR="0077350D" w:rsidRPr="00413148">
        <w:t xml:space="preserve"> or asked to leave</w:t>
      </w:r>
      <w:r w:rsidRPr="00413148">
        <w:t>. Otherwise, a</w:t>
      </w:r>
      <w:r w:rsidR="000D24BC" w:rsidRPr="00413148">
        <w:t>n individual with a disability cannot be asked to remove their service animal from the premises unless: (1) the animal is out of control</w:t>
      </w:r>
      <w:r w:rsidR="00A901AA">
        <w:t>,</w:t>
      </w:r>
      <w:r w:rsidR="000D24BC" w:rsidRPr="00413148">
        <w:t xml:space="preserve"> and the handler does not take effective action to control it; or (2) the animal is not housebroken or otherwise </w:t>
      </w:r>
      <w:r w:rsidR="000D24BC" w:rsidRPr="00413148">
        <w:lastRenderedPageBreak/>
        <w:t xml:space="preserve">creates a nuisance. When there is a legitimate reason to ask that a service animal be removed, staff must offer the person with </w:t>
      </w:r>
      <w:r w:rsidR="00AB5E52" w:rsidRPr="00413148">
        <w:t xml:space="preserve">a </w:t>
      </w:r>
      <w:r w:rsidR="000D24BC" w:rsidRPr="00413148">
        <w:t>disability the opportunity to obtain the goods or service without the animal’s presence.</w:t>
      </w:r>
      <w:r w:rsidR="000D24BC" w:rsidRPr="00413148">
        <w:rPr>
          <w:rStyle w:val="FootnoteReference"/>
        </w:rPr>
        <w:footnoteReference w:id="161"/>
      </w:r>
      <w:r w:rsidR="000D24BC" w:rsidRPr="00413148">
        <w:t xml:space="preserve"> </w:t>
      </w:r>
    </w:p>
    <w:p w14:paraId="2ABA02A2" w14:textId="77777777" w:rsidR="000D24BC" w:rsidRPr="00413148" w:rsidRDefault="000D24BC" w:rsidP="000E5671"/>
    <w:p w14:paraId="54B92EB3" w14:textId="66BA2815" w:rsidR="000E5671" w:rsidRPr="00413148" w:rsidRDefault="3471571A" w:rsidP="000E5671">
      <w:r w:rsidRPr="00413148">
        <w:t xml:space="preserve">When it is not apparent whether an animal is a service animal, only limited inquiries are allowed. </w:t>
      </w:r>
      <w:r w:rsidR="59A20F92" w:rsidRPr="00413148">
        <w:t xml:space="preserve">Public </w:t>
      </w:r>
      <w:proofErr w:type="gramStart"/>
      <w:r w:rsidR="59A20F92" w:rsidRPr="00413148">
        <w:t>accommodations</w:t>
      </w:r>
      <w:proofErr w:type="gramEnd"/>
      <w:r w:rsidR="59A20F92" w:rsidRPr="00413148">
        <w:t xml:space="preserve"> </w:t>
      </w:r>
      <w:r w:rsidRPr="00413148">
        <w:t xml:space="preserve">may ask </w:t>
      </w:r>
      <w:r w:rsidR="46BD5A93" w:rsidRPr="00413148">
        <w:rPr>
          <w:i/>
          <w:iCs/>
        </w:rPr>
        <w:t>only two</w:t>
      </w:r>
      <w:r w:rsidR="46BD5A93" w:rsidRPr="00413148">
        <w:t xml:space="preserve"> </w:t>
      </w:r>
      <w:r w:rsidRPr="00413148">
        <w:t xml:space="preserve">questions: (1) is the </w:t>
      </w:r>
      <w:r w:rsidR="003E40D4" w:rsidRPr="00413148">
        <w:t xml:space="preserve">animal a </w:t>
      </w:r>
      <w:r w:rsidRPr="00413148">
        <w:t xml:space="preserve">service animal required because of a disability; and (2) what work or task </w:t>
      </w:r>
      <w:proofErr w:type="gramStart"/>
      <w:r w:rsidRPr="00413148">
        <w:t>has the service animal</w:t>
      </w:r>
      <w:proofErr w:type="gramEnd"/>
      <w:r w:rsidRPr="00413148">
        <w:t xml:space="preserve"> been trained to perform. Staff </w:t>
      </w:r>
      <w:r w:rsidRPr="00413148">
        <w:rPr>
          <w:i/>
          <w:iCs/>
        </w:rPr>
        <w:t>cannot</w:t>
      </w:r>
      <w:r w:rsidRPr="00413148">
        <w:t xml:space="preserve"> ask about the person’s disability, require medical documentation, require a special identification card or training documentation for the animal, or ask that the service animal demonstrate its ability to perform a specific task.</w:t>
      </w:r>
      <w:r w:rsidR="000D24BC" w:rsidRPr="00413148">
        <w:rPr>
          <w:rStyle w:val="FootnoteReference"/>
        </w:rPr>
        <w:footnoteReference w:id="162"/>
      </w:r>
      <w:r w:rsidR="000E5671" w:rsidRPr="00413148">
        <w:t xml:space="preserve"> </w:t>
      </w:r>
    </w:p>
    <w:p w14:paraId="4100C6AD" w14:textId="77777777" w:rsidR="00E3500A" w:rsidRPr="00413148" w:rsidRDefault="00E3500A" w:rsidP="000E5671"/>
    <w:p w14:paraId="5F4175E6" w14:textId="77777777" w:rsidR="000D24BC" w:rsidRPr="00413148" w:rsidRDefault="000D24BC" w:rsidP="00113630">
      <w:pPr>
        <w:pStyle w:val="Heading4"/>
        <w:numPr>
          <w:ilvl w:val="1"/>
          <w:numId w:val="9"/>
        </w:numPr>
        <w:spacing w:before="0" w:after="0"/>
        <w:ind w:left="1440" w:hanging="540"/>
        <w:rPr>
          <w:rFonts w:cs="Arial"/>
          <w:b/>
          <w:bCs/>
          <w:color w:val="4B0082"/>
          <w:szCs w:val="32"/>
        </w:rPr>
      </w:pPr>
      <w:r w:rsidRPr="00413148">
        <w:rPr>
          <w:rFonts w:cs="Arial"/>
          <w:b/>
          <w:bCs/>
          <w:color w:val="4B0082"/>
          <w:szCs w:val="32"/>
        </w:rPr>
        <w:t>Process for Requesting or Offering Reasonable Accommodations in Public Accommodations</w:t>
      </w:r>
    </w:p>
    <w:p w14:paraId="6D54CF78" w14:textId="77777777" w:rsidR="000D24BC" w:rsidRPr="00413148" w:rsidRDefault="000D24BC" w:rsidP="000E5671"/>
    <w:p w14:paraId="69A82368" w14:textId="77777777" w:rsidR="005B4326" w:rsidRPr="00413148" w:rsidRDefault="4FB6C555" w:rsidP="000E5671">
      <w:r w:rsidRPr="00413148">
        <w:t>T</w:t>
      </w:r>
      <w:r w:rsidR="2AE92D61" w:rsidRPr="00413148">
        <w:t xml:space="preserve">he determination of whether a </w:t>
      </w:r>
      <w:r w:rsidR="4D5C289B" w:rsidRPr="00413148">
        <w:t>place or</w:t>
      </w:r>
      <w:r w:rsidR="2AE92D61" w:rsidRPr="00413148">
        <w:t xml:space="preserve"> provider of public accommodation has failed to provide reasonable accommodations to individuals with disabilities involves an individualized assessment of </w:t>
      </w:r>
      <w:r w:rsidR="508842EE" w:rsidRPr="00413148">
        <w:t>the circumstances surrounding each</w:t>
      </w:r>
      <w:r w:rsidR="122DAC4F" w:rsidRPr="00413148">
        <w:t xml:space="preserve"> accommodation request and cooper</w:t>
      </w:r>
      <w:r w:rsidR="11647020" w:rsidRPr="00413148">
        <w:t>a</w:t>
      </w:r>
      <w:r w:rsidR="122DAC4F" w:rsidRPr="00413148">
        <w:t>tive dial</w:t>
      </w:r>
      <w:r w:rsidR="7D786A51" w:rsidRPr="00413148">
        <w:t>o</w:t>
      </w:r>
      <w:r w:rsidR="122DAC4F" w:rsidRPr="00413148">
        <w:t>gue</w:t>
      </w:r>
      <w:r w:rsidR="4D47C732" w:rsidRPr="00413148">
        <w:t>.</w:t>
      </w:r>
      <w:r w:rsidR="00B14B6A" w:rsidRPr="00413148">
        <w:t xml:space="preserve"> </w:t>
      </w:r>
      <w:r w:rsidR="26773035" w:rsidRPr="00413148">
        <w:t>T</w:t>
      </w:r>
      <w:r w:rsidR="2AE92D61" w:rsidRPr="00413148">
        <w:t xml:space="preserve">he Commission will generally consider the following factors in assessing reasonableness and the adequacy of the cooperative dialogue: </w:t>
      </w:r>
      <w:r w:rsidR="5969D642" w:rsidRPr="00413148">
        <w:t xml:space="preserve">(1) </w:t>
      </w:r>
      <w:r w:rsidR="2AE92D61" w:rsidRPr="00413148">
        <w:t xml:space="preserve">the nature of the relationship between the covered entity and the individual (a longer-term relationship such as a regular client, student, member, or patient, or a shorter-term relationship, such as a one-time </w:t>
      </w:r>
      <w:r w:rsidR="342B351C" w:rsidRPr="00413148">
        <w:t xml:space="preserve">or infrequent </w:t>
      </w:r>
      <w:r w:rsidR="2AE92D61" w:rsidRPr="00413148">
        <w:t xml:space="preserve">customer); </w:t>
      </w:r>
      <w:r w:rsidR="5969D642" w:rsidRPr="00413148">
        <w:t xml:space="preserve">(2) </w:t>
      </w:r>
      <w:r w:rsidR="2AE92D61" w:rsidRPr="00413148">
        <w:t>whether the covered entity knew or should have known of the individual’s disability;</w:t>
      </w:r>
      <w:r w:rsidR="5969D642" w:rsidRPr="00413148">
        <w:t xml:space="preserve"> (3)</w:t>
      </w:r>
      <w:r w:rsidR="2AE92D61" w:rsidRPr="00413148">
        <w:t xml:space="preserve"> the nature and duration of the interaction; and </w:t>
      </w:r>
      <w:r w:rsidR="5969D642" w:rsidRPr="00413148">
        <w:t xml:space="preserve">(4) </w:t>
      </w:r>
      <w:r w:rsidR="2AE92D61" w:rsidRPr="00413148">
        <w:t xml:space="preserve">the accommodation requested. </w:t>
      </w:r>
      <w:r w:rsidR="65D264D1" w:rsidRPr="00413148">
        <w:t xml:space="preserve">The type of service a public accommodation provides and the community it serves will be </w:t>
      </w:r>
      <w:r w:rsidR="65D264D1" w:rsidRPr="00413148">
        <w:lastRenderedPageBreak/>
        <w:t>considered in determining whether a public accommodation was on notice that a reasonable accommodation should have been made to accommodate the needs of a</w:t>
      </w:r>
      <w:r w:rsidR="65D264D1" w:rsidRPr="00413148">
        <w:rPr>
          <w:color w:val="2B579A"/>
        </w:rPr>
        <w:t xml:space="preserve"> </w:t>
      </w:r>
      <w:r w:rsidR="29FFDBE4" w:rsidRPr="00413148">
        <w:t>patron.</w:t>
      </w:r>
      <w:r w:rsidR="65D264D1" w:rsidRPr="00413148">
        <w:rPr>
          <w:color w:val="2B579A"/>
        </w:rPr>
        <w:t xml:space="preserve"> </w:t>
      </w:r>
      <w:r w:rsidR="2AE92D61" w:rsidRPr="00413148">
        <w:t>For example, a deli would generally not be required to provide a qualified sign language interpreter for a customer who is deaf during a short and relatively simple conversation regarding a purchase. Instead, the deli should find an alternative way to effectively accommodate the customer, such as exchanging written notes. A hospital, by comparison, may be obligated to provide sign language interpret</w:t>
      </w:r>
      <w:r w:rsidR="08649C09" w:rsidRPr="00413148">
        <w:t>ation</w:t>
      </w:r>
      <w:r w:rsidR="2AE92D61" w:rsidRPr="00413148">
        <w:t xml:space="preserve"> to a patient who is deaf as a reasonable accommodation because, in order for a patient in a hospital setting to “enjoy the right or rights in question,”</w:t>
      </w:r>
      <w:r w:rsidR="000D24BC" w:rsidRPr="00413148">
        <w:rPr>
          <w:rStyle w:val="FootnoteReference"/>
        </w:rPr>
        <w:footnoteReference w:id="163"/>
      </w:r>
      <w:r w:rsidR="2AE92D61" w:rsidRPr="00413148">
        <w:t xml:space="preserve"> they require in-depth, time-sensitive, and nuanced communications with medical personnel. However, there are certain types of </w:t>
      </w:r>
      <w:r w:rsidR="2BC0E1DC" w:rsidRPr="00413148">
        <w:t xml:space="preserve">reasonable </w:t>
      </w:r>
      <w:r w:rsidR="2AE92D61" w:rsidRPr="00413148">
        <w:t>accommodations that all public accommodations must consider regardless of an individual customer’s or member’s need, including service animals</w:t>
      </w:r>
      <w:r w:rsidR="06183A16" w:rsidRPr="00413148">
        <w:t>,</w:t>
      </w:r>
      <w:r w:rsidR="2AE92D61" w:rsidRPr="00413148">
        <w:t xml:space="preserve"> accessible entrances</w:t>
      </w:r>
      <w:r w:rsidR="0365E388" w:rsidRPr="00413148">
        <w:t>, and means to communicate with individuals who may be deaf or hard of hearing</w:t>
      </w:r>
      <w:r w:rsidR="2AE92D61" w:rsidRPr="00413148">
        <w:t xml:space="preserve">. </w:t>
      </w:r>
    </w:p>
    <w:p w14:paraId="72632D83" w14:textId="262432CC" w:rsidR="00E224FA" w:rsidRPr="00413148" w:rsidRDefault="00E224FA" w:rsidP="000E5671"/>
    <w:p w14:paraId="61D5E789" w14:textId="77777777" w:rsidR="005B4326" w:rsidRPr="00413148" w:rsidRDefault="590B6CCC" w:rsidP="00113630">
      <w:pPr>
        <w:pStyle w:val="Heading3"/>
        <w:numPr>
          <w:ilvl w:val="0"/>
          <w:numId w:val="9"/>
        </w:numPr>
        <w:spacing w:before="0" w:after="0"/>
        <w:ind w:left="900" w:hanging="360"/>
        <w:rPr>
          <w:rFonts w:cs="Arial"/>
          <w:b/>
          <w:bCs/>
          <w:color w:val="4B0082"/>
          <w:sz w:val="32"/>
          <w:szCs w:val="32"/>
        </w:rPr>
      </w:pPr>
      <w:bookmarkStart w:id="36" w:name="_Toc218083756"/>
      <w:r w:rsidRPr="00413148">
        <w:rPr>
          <w:rFonts w:cs="Arial"/>
          <w:b/>
          <w:bCs/>
          <w:color w:val="4B0082"/>
          <w:sz w:val="32"/>
          <w:szCs w:val="32"/>
        </w:rPr>
        <w:t>Defenses to a Claim of Failure to Provide Reasonable Accommodations in Public Accommodations</w:t>
      </w:r>
      <w:bookmarkEnd w:id="36"/>
    </w:p>
    <w:p w14:paraId="5AB9D63D" w14:textId="77777777" w:rsidR="000E5671" w:rsidRPr="00413148" w:rsidRDefault="000E5671" w:rsidP="000E5671"/>
    <w:p w14:paraId="662050CD" w14:textId="77777777" w:rsidR="005B4326" w:rsidRPr="00413148" w:rsidRDefault="005B4326" w:rsidP="00113630">
      <w:pPr>
        <w:pStyle w:val="Heading4"/>
        <w:numPr>
          <w:ilvl w:val="1"/>
          <w:numId w:val="9"/>
        </w:numPr>
        <w:spacing w:before="0" w:after="0"/>
        <w:ind w:left="1440" w:hanging="540"/>
        <w:rPr>
          <w:rFonts w:cs="Arial"/>
          <w:b/>
          <w:bCs/>
          <w:color w:val="4B0082"/>
        </w:rPr>
      </w:pPr>
      <w:r w:rsidRPr="00413148">
        <w:rPr>
          <w:rFonts w:cs="Arial"/>
          <w:b/>
          <w:bCs/>
          <w:color w:val="4B0082"/>
        </w:rPr>
        <w:t>Undue Hardship</w:t>
      </w:r>
    </w:p>
    <w:p w14:paraId="00C8C71B" w14:textId="77777777" w:rsidR="005B4326" w:rsidRPr="00413148" w:rsidDel="009406B1" w:rsidRDefault="005B4326" w:rsidP="000E5671"/>
    <w:p w14:paraId="318B093D" w14:textId="77777777" w:rsidR="005B4326" w:rsidRPr="00413148" w:rsidRDefault="590B6CCC" w:rsidP="000E5671">
      <w:r w:rsidRPr="00413148">
        <w:t xml:space="preserve">All accommodations are presumed reasonable unless </w:t>
      </w:r>
      <w:r w:rsidR="00ED584E" w:rsidRPr="00413148">
        <w:t>a</w:t>
      </w:r>
      <w:r w:rsidRPr="00413148">
        <w:t xml:space="preserve"> public accommodation shows that they would pose an undue hardship.</w:t>
      </w:r>
      <w:r w:rsidR="005B4326" w:rsidRPr="00413148">
        <w:rPr>
          <w:rStyle w:val="FootnoteReference"/>
        </w:rPr>
        <w:footnoteReference w:id="164"/>
      </w:r>
      <w:r w:rsidRPr="00413148" w:rsidDel="00EA0294">
        <w:t xml:space="preserve"> Evidence of undue hardship is assessed by a preponderance of the evidence standard</w:t>
      </w:r>
      <w:r w:rsidRPr="00413148">
        <w:t>.</w:t>
      </w:r>
      <w:r w:rsidR="005B4326" w:rsidRPr="00413148">
        <w:rPr>
          <w:rStyle w:val="FootnoteReference"/>
        </w:rPr>
        <w:footnoteReference w:id="165"/>
      </w:r>
      <w:r w:rsidRPr="00413148">
        <w:t xml:space="preserve"> </w:t>
      </w:r>
    </w:p>
    <w:p w14:paraId="3DEE2601" w14:textId="77777777" w:rsidR="005B4326" w:rsidRPr="00413148" w:rsidRDefault="005B4326" w:rsidP="000E5671"/>
    <w:p w14:paraId="7434C638" w14:textId="77777777" w:rsidR="005B4326" w:rsidRPr="00413148" w:rsidRDefault="005B4326" w:rsidP="000E5671">
      <w:r w:rsidRPr="00413148">
        <w:t xml:space="preserve">There is no accommodation—whether structural change to a store or venue, </w:t>
      </w:r>
      <w:r w:rsidR="76BE59BD" w:rsidRPr="00413148">
        <w:t>amendments</w:t>
      </w:r>
      <w:r w:rsidRPr="00413148">
        <w:t xml:space="preserve"> to or exemptions from existing policies, or </w:t>
      </w:r>
      <w:r w:rsidRPr="00413148">
        <w:lastRenderedPageBreak/>
        <w:t>providing specific equipment—that is categorically excluded from the universe of reasonable accommodations under the NYCHRL because a public accommodation must assess</w:t>
      </w:r>
      <w:r w:rsidR="006B1FA2" w:rsidRPr="00413148">
        <w:t>,</w:t>
      </w:r>
      <w:r w:rsidRPr="00413148">
        <w:t xml:space="preserve"> on a case-by-case basis</w:t>
      </w:r>
      <w:r w:rsidR="006B1FA2" w:rsidRPr="00413148">
        <w:t>,</w:t>
      </w:r>
      <w:r w:rsidRPr="00413148">
        <w:t xml:space="preserve"> whether a particular accommodation would cause undue hardship.</w:t>
      </w:r>
      <w:r w:rsidRPr="00413148">
        <w:rPr>
          <w:rStyle w:val="FootnoteReference"/>
        </w:rPr>
        <w:footnoteReference w:id="166"/>
      </w:r>
      <w:r w:rsidR="009406B1" w:rsidRPr="00413148">
        <w:t xml:space="preserve"> A public accommodation claiming an undue hardship has the burden to prove there is no reasonable accommodation available to meet the person’s needs.</w:t>
      </w:r>
      <w:r w:rsidR="00C32E16" w:rsidRPr="00413148">
        <w:rPr>
          <w:rStyle w:val="FootnoteReference"/>
        </w:rPr>
        <w:footnoteReference w:id="167"/>
      </w:r>
      <w:r w:rsidR="00C32E16" w:rsidRPr="00413148">
        <w:t xml:space="preserve"> </w:t>
      </w:r>
    </w:p>
    <w:p w14:paraId="27A55060" w14:textId="77777777" w:rsidR="005B4326" w:rsidRPr="00413148" w:rsidRDefault="005B4326" w:rsidP="000E5671"/>
    <w:p w14:paraId="0C093A6F" w14:textId="034AF110" w:rsidR="005B4326" w:rsidRPr="00413148" w:rsidRDefault="590B6CCC" w:rsidP="00113630">
      <w:pPr>
        <w:pStyle w:val="Heading4"/>
        <w:numPr>
          <w:ilvl w:val="1"/>
          <w:numId w:val="9"/>
        </w:numPr>
        <w:spacing w:before="0" w:after="0"/>
        <w:ind w:left="1440" w:hanging="540"/>
        <w:rPr>
          <w:rFonts w:cs="Arial"/>
          <w:b/>
          <w:bCs/>
          <w:color w:val="4B0082"/>
        </w:rPr>
      </w:pPr>
      <w:r w:rsidRPr="00413148">
        <w:rPr>
          <w:rFonts w:cs="Arial"/>
          <w:b/>
          <w:bCs/>
          <w:color w:val="4B0082"/>
        </w:rPr>
        <w:t xml:space="preserve">Requested Accommodation(s) </w:t>
      </w:r>
      <w:r w:rsidR="00FE221F" w:rsidRPr="00413148">
        <w:rPr>
          <w:rFonts w:cs="Arial"/>
          <w:b/>
          <w:bCs/>
          <w:color w:val="4B0082"/>
        </w:rPr>
        <w:t xml:space="preserve">That </w:t>
      </w:r>
      <w:r w:rsidR="45622B9F" w:rsidRPr="00413148">
        <w:rPr>
          <w:rFonts w:cs="Arial"/>
          <w:b/>
          <w:bCs/>
          <w:color w:val="4B0082"/>
        </w:rPr>
        <w:t>I</w:t>
      </w:r>
      <w:r w:rsidRPr="00413148">
        <w:rPr>
          <w:rFonts w:cs="Arial"/>
          <w:b/>
          <w:bCs/>
          <w:color w:val="4B0082"/>
        </w:rPr>
        <w:t>mplicate</w:t>
      </w:r>
      <w:r w:rsidR="37F76F95" w:rsidRPr="00413148">
        <w:rPr>
          <w:rFonts w:cs="Arial"/>
          <w:b/>
          <w:bCs/>
          <w:color w:val="4B0082"/>
        </w:rPr>
        <w:t xml:space="preserve"> Other</w:t>
      </w:r>
      <w:r w:rsidRPr="00413148">
        <w:rPr>
          <w:rFonts w:cs="Arial"/>
          <w:b/>
          <w:bCs/>
          <w:color w:val="4B0082"/>
        </w:rPr>
        <w:t xml:space="preserve"> City, State, or Federal Law</w:t>
      </w:r>
      <w:r w:rsidR="00FE221F" w:rsidRPr="00413148">
        <w:rPr>
          <w:rFonts w:cs="Arial"/>
          <w:b/>
          <w:bCs/>
          <w:color w:val="4B0082"/>
        </w:rPr>
        <w:t>s</w:t>
      </w:r>
      <w:r w:rsidRPr="00413148">
        <w:rPr>
          <w:rFonts w:cs="Arial"/>
          <w:b/>
          <w:bCs/>
          <w:color w:val="4B0082"/>
        </w:rPr>
        <w:t xml:space="preserve"> </w:t>
      </w:r>
    </w:p>
    <w:p w14:paraId="591379B5" w14:textId="77777777" w:rsidR="007B3023" w:rsidRPr="00413148" w:rsidRDefault="007B3023" w:rsidP="000E5671"/>
    <w:p w14:paraId="5B30F63C" w14:textId="35D50A9C" w:rsidR="005B4326" w:rsidRPr="00413148" w:rsidRDefault="590B6CCC" w:rsidP="000E5671">
      <w:r w:rsidRPr="00413148">
        <w:t>In some instances, a requested accommodation may conflict with federal, state, or local law</w:t>
      </w:r>
      <w:r w:rsidR="001F28C8" w:rsidRPr="00413148">
        <w:t>s</w:t>
      </w:r>
      <w:r w:rsidRPr="00413148">
        <w:t xml:space="preserve"> or regulations. </w:t>
      </w:r>
      <w:r w:rsidR="2C2E0DC7" w:rsidRPr="00413148">
        <w:rPr>
          <w:rFonts w:eastAsia="Arial" w:cs="Arial"/>
          <w:color w:val="000000" w:themeColor="text1"/>
        </w:rPr>
        <w:t>Where</w:t>
      </w:r>
      <w:r w:rsidR="2C2E0DC7" w:rsidRPr="00413148">
        <w:rPr>
          <w:rFonts w:eastAsia="Arial" w:cs="Arial"/>
        </w:rPr>
        <w:t xml:space="preserve"> the requested accommodation is the only option that would </w:t>
      </w:r>
      <w:r w:rsidR="2C2E0DC7" w:rsidRPr="00413148">
        <w:t>allow a patron full enjoyment of the right(s) in question</w:t>
      </w:r>
      <w:r w:rsidR="2C2E0DC7" w:rsidRPr="00413148">
        <w:rPr>
          <w:rFonts w:eastAsia="Arial" w:cs="Arial"/>
        </w:rPr>
        <w:t xml:space="preserve">, </w:t>
      </w:r>
      <w:r w:rsidR="55EA06B3" w:rsidRPr="00413148">
        <w:rPr>
          <w:rFonts w:eastAsia="Arial" w:cs="Arial"/>
        </w:rPr>
        <w:t xml:space="preserve">and the requestor or the public accommodation </w:t>
      </w:r>
      <w:r w:rsidR="2ECE1B1B" w:rsidRPr="00413148">
        <w:t>is</w:t>
      </w:r>
      <w:r w:rsidR="55EA06B3" w:rsidRPr="00413148">
        <w:rPr>
          <w:rFonts w:eastAsia="Arial" w:cs="Arial"/>
        </w:rPr>
        <w:t xml:space="preserve"> aware of </w:t>
      </w:r>
      <w:r w:rsidR="63FBEF43" w:rsidRPr="00413148">
        <w:rPr>
          <w:rFonts w:eastAsia="Arial" w:cs="Arial"/>
        </w:rPr>
        <w:t xml:space="preserve">or becomes aware of </w:t>
      </w:r>
      <w:r w:rsidRPr="00413148">
        <w:t xml:space="preserve">a </w:t>
      </w:r>
      <w:r w:rsidR="57447C09" w:rsidRPr="00413148">
        <w:t xml:space="preserve">potential </w:t>
      </w:r>
      <w:r w:rsidRPr="00413148">
        <w:t xml:space="preserve">waiver from the </w:t>
      </w:r>
      <w:r w:rsidR="57CE2B15" w:rsidRPr="00413148">
        <w:t xml:space="preserve">applicable </w:t>
      </w:r>
      <w:r w:rsidRPr="00413148">
        <w:t>laws</w:t>
      </w:r>
      <w:r w:rsidR="0060499E" w:rsidRPr="00413148">
        <w:t>, rules, or regulations</w:t>
      </w:r>
      <w:r w:rsidR="2C6B1A70" w:rsidRPr="00413148">
        <w:t>, the public accommodation should explore</w:t>
      </w:r>
      <w:r w:rsidR="7B048D7C" w:rsidRPr="00413148">
        <w:t xml:space="preserve"> </w:t>
      </w:r>
      <w:r w:rsidR="73859F43" w:rsidRPr="00413148">
        <w:t>s</w:t>
      </w:r>
      <w:r w:rsidR="0060499E" w:rsidRPr="00413148">
        <w:t>eeking a waiver</w:t>
      </w:r>
      <w:r w:rsidR="51C3D3C9" w:rsidRPr="00413148">
        <w:t xml:space="preserve">. This means </w:t>
      </w:r>
      <w:r w:rsidR="7EA39789" w:rsidRPr="00413148">
        <w:t>attempting</w:t>
      </w:r>
      <w:r w:rsidR="00F77763" w:rsidRPr="00413148">
        <w:t xml:space="preserve"> to</w:t>
      </w:r>
      <w:r w:rsidR="7EA39789" w:rsidRPr="00413148">
        <w:t xml:space="preserve"> contact</w:t>
      </w:r>
      <w:r w:rsidR="00673EB0" w:rsidRPr="00413148">
        <w:t xml:space="preserve"> the agency or agencies</w:t>
      </w:r>
      <w:r w:rsidR="7EA39789" w:rsidRPr="00413148">
        <w:t xml:space="preserve"> with relevant </w:t>
      </w:r>
      <w:r w:rsidR="0060499E" w:rsidRPr="00413148">
        <w:t xml:space="preserve">oversight or enforcement </w:t>
      </w:r>
      <w:r w:rsidR="37EC9BAE" w:rsidRPr="00413148">
        <w:t xml:space="preserve">authority </w:t>
      </w:r>
      <w:r w:rsidR="0060499E" w:rsidRPr="00413148">
        <w:t xml:space="preserve">to ascertain whether </w:t>
      </w:r>
      <w:r w:rsidR="1B893D0E" w:rsidRPr="00413148">
        <w:t xml:space="preserve">a </w:t>
      </w:r>
      <w:r w:rsidR="0060499E" w:rsidRPr="00413148">
        <w:t>waiver</w:t>
      </w:r>
      <w:r w:rsidR="00673EB0" w:rsidRPr="00413148">
        <w:t xml:space="preserve"> </w:t>
      </w:r>
      <w:r w:rsidR="1CADE465" w:rsidRPr="00413148">
        <w:t xml:space="preserve">is </w:t>
      </w:r>
      <w:r w:rsidR="0060499E" w:rsidRPr="00413148">
        <w:t>possible and</w:t>
      </w:r>
      <w:r w:rsidR="005B705B" w:rsidRPr="00413148">
        <w:t xml:space="preserve"> the </w:t>
      </w:r>
      <w:r w:rsidR="0060499E" w:rsidRPr="00413148">
        <w:t xml:space="preserve">process </w:t>
      </w:r>
      <w:r w:rsidR="0C74ED3B" w:rsidRPr="00413148">
        <w:t>for requesting a waiver</w:t>
      </w:r>
      <w:r w:rsidR="0060499E" w:rsidRPr="00413148">
        <w:t xml:space="preserve">. </w:t>
      </w:r>
      <w:r w:rsidR="006F6841" w:rsidRPr="00413148">
        <w:t>For example, if an individual requests that a</w:t>
      </w:r>
      <w:r w:rsidR="003F025E" w:rsidRPr="00413148">
        <w:t xml:space="preserve"> </w:t>
      </w:r>
      <w:r w:rsidR="00CE1449" w:rsidRPr="00413148">
        <w:t xml:space="preserve">public accommodation make its only entrance accessible by </w:t>
      </w:r>
      <w:r w:rsidR="00A32B2B" w:rsidRPr="00413148">
        <w:t xml:space="preserve">constructing a ramp, but the initial survey indicates that </w:t>
      </w:r>
      <w:r w:rsidR="00606799" w:rsidRPr="00413148">
        <w:t xml:space="preserve">a compliant ramp cannot be installed due to </w:t>
      </w:r>
      <w:r w:rsidR="007779F7" w:rsidRPr="00413148">
        <w:t>building code</w:t>
      </w:r>
      <w:r w:rsidR="24130B70" w:rsidRPr="00413148">
        <w:t>s</w:t>
      </w:r>
      <w:r w:rsidR="007779F7" w:rsidRPr="00413148">
        <w:t>, the public accommodation should contact the agency responsible for enforc</w:t>
      </w:r>
      <w:r w:rsidR="00F21E0B" w:rsidRPr="00413148">
        <w:t>ing</w:t>
      </w:r>
      <w:r w:rsidR="00DB4CAC" w:rsidRPr="00413148">
        <w:t xml:space="preserve"> building codes to see if it is possible to request a waiver of the applicable rule and, if so, how to engage in the waiver process.</w:t>
      </w:r>
      <w:r w:rsidRPr="00413148">
        <w:t xml:space="preserve"> If a waiver is unavailable, the potential conflict of providing an accommodation that would violate another law may be an undue hardship.</w:t>
      </w:r>
      <w:r w:rsidR="4C1D6A0E" w:rsidRPr="00413148">
        <w:t xml:space="preserve"> Public accommodations can explore other avenues to meet the patron’s needs in that instance.</w:t>
      </w:r>
    </w:p>
    <w:p w14:paraId="006341B4" w14:textId="77777777" w:rsidR="005B4326" w:rsidRPr="00413148" w:rsidRDefault="005B4326" w:rsidP="000E5671"/>
    <w:p w14:paraId="7ADC4B10" w14:textId="77777777" w:rsidR="005B4326" w:rsidRPr="00413148" w:rsidRDefault="003750BF" w:rsidP="00113630">
      <w:pPr>
        <w:pStyle w:val="Heading2"/>
        <w:numPr>
          <w:ilvl w:val="0"/>
          <w:numId w:val="12"/>
        </w:numPr>
        <w:spacing w:before="0" w:after="0"/>
        <w:ind w:left="360"/>
        <w:rPr>
          <w:rFonts w:ascii="Arial" w:hAnsi="Arial" w:cs="Arial"/>
          <w:color w:val="4B0082"/>
          <w:sz w:val="36"/>
          <w:szCs w:val="36"/>
        </w:rPr>
      </w:pPr>
      <w:r w:rsidRPr="00413148">
        <w:rPr>
          <w:rFonts w:ascii="Arial" w:hAnsi="Arial" w:cs="Arial"/>
          <w:b/>
          <w:bCs/>
          <w:color w:val="4B0082"/>
          <w:sz w:val="40"/>
          <w:szCs w:val="40"/>
        </w:rPr>
        <w:t xml:space="preserve"> </w:t>
      </w:r>
      <w:bookmarkStart w:id="37" w:name="_Toc218083757"/>
      <w:r w:rsidR="005B4326" w:rsidRPr="00413148">
        <w:rPr>
          <w:rFonts w:ascii="Arial" w:hAnsi="Arial" w:cs="Arial"/>
          <w:b/>
          <w:bCs/>
          <w:color w:val="4B0082"/>
          <w:sz w:val="36"/>
          <w:szCs w:val="36"/>
        </w:rPr>
        <w:t>Disability Protections in Housing</w:t>
      </w:r>
      <w:bookmarkEnd w:id="37"/>
    </w:p>
    <w:p w14:paraId="70389940" w14:textId="77777777" w:rsidR="005B4326" w:rsidRPr="00413148" w:rsidRDefault="005B4326" w:rsidP="000E5671"/>
    <w:p w14:paraId="465C1ED1" w14:textId="77777777" w:rsidR="005B4326" w:rsidRPr="00413148" w:rsidRDefault="005B4326" w:rsidP="000E5671">
      <w:pPr>
        <w:rPr>
          <w:highlight w:val="yellow"/>
        </w:rPr>
      </w:pPr>
      <w:r w:rsidRPr="00413148">
        <w:t>It is unlawful to refuse to sell, rent, or lease housing or to misrepresent the availability of housing to someone because of their actual or perceived disability.</w:t>
      </w:r>
      <w:r w:rsidRPr="00413148">
        <w:rPr>
          <w:rStyle w:val="FootnoteReference"/>
        </w:rPr>
        <w:footnoteReference w:id="168"/>
      </w:r>
      <w:r w:rsidRPr="00413148">
        <w:t xml:space="preserve"> It is also unlawful to set different terms, conditions, or privileges for the sale, rental, or lease of housing, such as </w:t>
      </w:r>
      <w:r w:rsidR="00FB423B" w:rsidRPr="00413148">
        <w:t xml:space="preserve">providing </w:t>
      </w:r>
      <w:r w:rsidRPr="00413148">
        <w:t xml:space="preserve">different housing </w:t>
      </w:r>
      <w:r w:rsidR="00537EC1" w:rsidRPr="00413148">
        <w:t>amenities</w:t>
      </w:r>
      <w:r w:rsidR="000A026D" w:rsidRPr="00413148">
        <w:t xml:space="preserve"> </w:t>
      </w:r>
      <w:r w:rsidR="00FB423B" w:rsidRPr="00413148">
        <w:t>or restricting access to building amenities</w:t>
      </w:r>
      <w:r w:rsidRPr="00413148">
        <w:t>, because of an individual’s actual or perceived disability.</w:t>
      </w:r>
      <w:r w:rsidRPr="00413148">
        <w:rPr>
          <w:rStyle w:val="FootnoteReference"/>
        </w:rPr>
        <w:footnoteReference w:id="169"/>
      </w:r>
    </w:p>
    <w:p w14:paraId="5717076C" w14:textId="77777777" w:rsidR="005B4326" w:rsidRPr="00413148" w:rsidRDefault="005B4326" w:rsidP="000E5671"/>
    <w:p w14:paraId="2984AFB9" w14:textId="77777777" w:rsidR="00936AD6" w:rsidRPr="00413148" w:rsidRDefault="15AA96A7" w:rsidP="00C32779">
      <w:pPr>
        <w:pStyle w:val="FootnoteText"/>
        <w:spacing w:line="240" w:lineRule="auto"/>
        <w:ind w:left="0"/>
      </w:pPr>
      <w:r w:rsidRPr="00413148">
        <w:t xml:space="preserve">The NYCHRL prohibits unlawful discriminatory practices in housing, and covers </w:t>
      </w:r>
      <w:r w:rsidR="37A532C1" w:rsidRPr="00413148">
        <w:t>housing providers</w:t>
      </w:r>
      <w:r w:rsidRPr="00413148">
        <w:t xml:space="preserve"> including the “owner, lessor, lessee, sublessee, assignee, or managing agent of, or other person having the right to sell, rent or lease or approve the sale, rental or lease of a housing accommodation, constructed or to be constructed, or an interest therein, or any agent or employee thereof.”</w:t>
      </w:r>
      <w:r w:rsidR="00936AD6" w:rsidRPr="00413148">
        <w:rPr>
          <w:rStyle w:val="FootnoteReference"/>
        </w:rPr>
        <w:footnoteReference w:id="170"/>
      </w:r>
      <w:r w:rsidRPr="00413148">
        <w:t xml:space="preserve"> Covered </w:t>
      </w:r>
      <w:r w:rsidR="1BD668AA" w:rsidRPr="00413148">
        <w:t>housing providers</w:t>
      </w:r>
      <w:r w:rsidRPr="00413148">
        <w:t xml:space="preserve"> also include real estate brokers, real estate salespersons, or employees or agents thereof.</w:t>
      </w:r>
      <w:r w:rsidR="00936AD6" w:rsidRPr="00413148">
        <w:rPr>
          <w:rStyle w:val="FootnoteReference"/>
        </w:rPr>
        <w:footnoteReference w:id="171"/>
      </w:r>
      <w:r w:rsidRPr="00413148">
        <w:t xml:space="preserve"> The NYCHRL defines the term “housing accommodation” to include “any building, structure, or portion thereof which is used or occupied or is intended, arranged or designed to be used or occupied, as the home, residence or sleeping place of one or more human beings</w:t>
      </w:r>
      <w:r w:rsidR="6DDCE6A0" w:rsidRPr="00413148">
        <w:t>,” a</w:t>
      </w:r>
      <w:r w:rsidR="559590DD" w:rsidRPr="00413148">
        <w:t>nd generally includes</w:t>
      </w:r>
      <w:r w:rsidRPr="00413148">
        <w:t xml:space="preserve"> publicly-assisted housing</w:t>
      </w:r>
      <w:r w:rsidR="00B41044" w:rsidRPr="00413148">
        <w:t>.</w:t>
      </w:r>
      <w:r w:rsidR="00936AD6" w:rsidRPr="00413148">
        <w:rPr>
          <w:rStyle w:val="FootnoteReference"/>
        </w:rPr>
        <w:footnoteReference w:id="172"/>
      </w:r>
      <w:r w:rsidRPr="00413148">
        <w:t xml:space="preserve"> </w:t>
      </w:r>
    </w:p>
    <w:p w14:paraId="43B2B5F1" w14:textId="77777777" w:rsidR="00C32779" w:rsidRPr="00413148" w:rsidRDefault="00C32779" w:rsidP="00C32779">
      <w:pPr>
        <w:pStyle w:val="FootnoteText"/>
        <w:spacing w:line="240" w:lineRule="auto"/>
        <w:ind w:left="0"/>
      </w:pPr>
    </w:p>
    <w:p w14:paraId="1CEA7873" w14:textId="0FA17433" w:rsidR="00936AD6" w:rsidRPr="00413148" w:rsidRDefault="00936AD6" w:rsidP="00C32779">
      <w:pPr>
        <w:pStyle w:val="FootnoteText"/>
        <w:spacing w:line="240" w:lineRule="auto"/>
        <w:ind w:left="0"/>
      </w:pPr>
      <w:r w:rsidRPr="00413148">
        <w:t>The</w:t>
      </w:r>
      <w:r w:rsidR="00A1112A" w:rsidRPr="00413148">
        <w:t xml:space="preserve"> NYCHRL</w:t>
      </w:r>
      <w:r w:rsidRPr="00413148">
        <w:t xml:space="preserve"> </w:t>
      </w:r>
      <w:r w:rsidR="002B5E1A" w:rsidRPr="00413148">
        <w:t>exempts</w:t>
      </w:r>
      <w:r w:rsidR="00A1112A" w:rsidRPr="00413148">
        <w:t xml:space="preserve"> </w:t>
      </w:r>
      <w:r w:rsidRPr="00413148">
        <w:t xml:space="preserve">only two types of housing from </w:t>
      </w:r>
      <w:r w:rsidR="00DE67B4" w:rsidRPr="00413148">
        <w:t>its provisions</w:t>
      </w:r>
      <w:r w:rsidR="0057B52D" w:rsidRPr="00413148">
        <w:t xml:space="preserve"> related to disabilities in housing</w:t>
      </w:r>
      <w:r w:rsidRPr="00413148">
        <w:t>, and the exemptions are construed narrowly</w:t>
      </w:r>
      <w:r w:rsidR="0055104B" w:rsidRPr="00413148">
        <w:t>:</w:t>
      </w:r>
      <w:r w:rsidRPr="00413148">
        <w:t xml:space="preserve"> </w:t>
      </w:r>
    </w:p>
    <w:p w14:paraId="156D1B05" w14:textId="77777777" w:rsidR="000E5671" w:rsidRPr="00413148" w:rsidRDefault="000E5671" w:rsidP="000E5671">
      <w:pPr>
        <w:pStyle w:val="FootnoteText"/>
        <w:spacing w:line="240" w:lineRule="auto"/>
      </w:pPr>
    </w:p>
    <w:p w14:paraId="3EDB465F" w14:textId="7E816E70" w:rsidR="00936AD6" w:rsidRPr="00413148" w:rsidRDefault="615828F8" w:rsidP="000E5671">
      <w:pPr>
        <w:pStyle w:val="FootnoteText"/>
        <w:spacing w:line="240" w:lineRule="auto"/>
      </w:pPr>
      <w:r w:rsidRPr="00413148">
        <w:t>T</w:t>
      </w:r>
      <w:r w:rsidR="15AA96A7" w:rsidRPr="00413148">
        <w:t>he rental of a housing accommodation, other than a publicly-assisted housing accommodation, in a building which contains housing accommodations for not more than two families living independently of each other, if the owner or members of the owner’s family reside in one of such housing accommodations, and if</w:t>
      </w:r>
      <w:r w:rsidR="15AA96A7" w:rsidRPr="00413148">
        <w:rPr>
          <w:shd w:val="clear" w:color="auto" w:fill="FFFFFF"/>
        </w:rPr>
        <w:t xml:space="preserve"> </w:t>
      </w:r>
      <w:r w:rsidR="15AA96A7" w:rsidRPr="00413148">
        <w:t>the available housing accommodation has not been publicly advertised, listed, or otherwise offered to the general public.</w:t>
      </w:r>
      <w:r w:rsidR="007A5D86" w:rsidRPr="00413148">
        <w:rPr>
          <w:rStyle w:val="FootnoteReference"/>
          <w:shd w:val="clear" w:color="auto" w:fill="FFFFFF"/>
        </w:rPr>
        <w:footnoteReference w:id="173"/>
      </w:r>
      <w:r w:rsidR="15AA96A7" w:rsidRPr="00413148">
        <w:t xml:space="preserve"> </w:t>
      </w:r>
    </w:p>
    <w:p w14:paraId="6CDCE718" w14:textId="371E21FD" w:rsidR="00E224FA" w:rsidRPr="00413148" w:rsidRDefault="15AA96A7" w:rsidP="000E5671">
      <w:pPr>
        <w:pStyle w:val="FootnoteText"/>
        <w:spacing w:line="240" w:lineRule="auto"/>
        <w:rPr>
          <w:shd w:val="clear" w:color="auto" w:fill="FFFFFF"/>
        </w:rPr>
      </w:pPr>
      <w:r w:rsidRPr="00413148">
        <w:t>The</w:t>
      </w:r>
      <w:r w:rsidRPr="00413148" w:rsidDel="00625A18">
        <w:t xml:space="preserve"> </w:t>
      </w:r>
      <w:r w:rsidRPr="00413148">
        <w:t>rental of a room or rooms in a housing accommodation, other than a publicly-assisted housing accommodation, if such rental is by the occupant of the housing accommodation or by the owner of the housing accommodation and the owner or members of the owner’s family reside in such housing accommodation.</w:t>
      </w:r>
      <w:r w:rsidR="007A5D86" w:rsidRPr="00413148">
        <w:rPr>
          <w:rStyle w:val="FootnoteReference"/>
        </w:rPr>
        <w:footnoteReference w:id="174"/>
      </w:r>
      <w:r w:rsidRPr="00413148">
        <w:rPr>
          <w:shd w:val="clear" w:color="auto" w:fill="FFFFFF"/>
        </w:rPr>
        <w:t xml:space="preserve"> </w:t>
      </w:r>
    </w:p>
    <w:p w14:paraId="71CD6AA9" w14:textId="77777777" w:rsidR="000E5671" w:rsidRPr="00413148" w:rsidRDefault="000E5671" w:rsidP="000E5671">
      <w:pPr>
        <w:pStyle w:val="FootnoteText"/>
        <w:spacing w:line="240" w:lineRule="auto"/>
      </w:pPr>
    </w:p>
    <w:p w14:paraId="719A70BD" w14:textId="77777777" w:rsidR="00936AD6" w:rsidRPr="00413148" w:rsidRDefault="00936AD6" w:rsidP="00113630">
      <w:pPr>
        <w:pStyle w:val="Heading3"/>
        <w:numPr>
          <w:ilvl w:val="0"/>
          <w:numId w:val="13"/>
        </w:numPr>
        <w:spacing w:before="0" w:after="0"/>
        <w:ind w:left="900" w:hanging="360"/>
        <w:rPr>
          <w:rFonts w:cs="Arial"/>
          <w:color w:val="4B0082"/>
          <w:sz w:val="32"/>
          <w:szCs w:val="32"/>
        </w:rPr>
      </w:pPr>
      <w:bookmarkStart w:id="38" w:name="_Toc218083758"/>
      <w:r w:rsidRPr="00413148">
        <w:rPr>
          <w:rFonts w:cs="Arial"/>
          <w:b/>
          <w:bCs/>
          <w:color w:val="4B0082"/>
          <w:sz w:val="32"/>
          <w:szCs w:val="32"/>
        </w:rPr>
        <w:t>Postings</w:t>
      </w:r>
      <w:bookmarkEnd w:id="38"/>
    </w:p>
    <w:p w14:paraId="4CE3E797" w14:textId="77777777" w:rsidR="00936AD6" w:rsidRPr="00413148" w:rsidRDefault="00936AD6" w:rsidP="000E5671"/>
    <w:p w14:paraId="5E38591B" w14:textId="77777777" w:rsidR="00936AD6" w:rsidRPr="00413148" w:rsidRDefault="00936AD6" w:rsidP="000E5671">
      <w:r w:rsidRPr="00413148">
        <w:t>Under the NYCHRL, it is</w:t>
      </w:r>
      <w:r w:rsidR="0066746B" w:rsidRPr="00413148">
        <w:t xml:space="preserve"> generally</w:t>
      </w:r>
      <w:r w:rsidRPr="00413148">
        <w:t xml:space="preserve"> unlawful for a housing provider to “declare, print or circulate or cause to be declared, printed or circulated any statement, advertisement or publication” for “the purchase, rental or lease of . . . a housing accommodation or an interest therein” which “expresses, directly or indirectly, any limitation, specification or discrimination” against individuals with disabilities or “any intent to make any such limitation, specification or discrimination.”</w:t>
      </w:r>
      <w:r w:rsidRPr="00413148">
        <w:rPr>
          <w:rStyle w:val="FootnoteReference"/>
        </w:rPr>
        <w:footnoteReference w:id="175"/>
      </w:r>
    </w:p>
    <w:p w14:paraId="32BF4510" w14:textId="77777777" w:rsidR="00936AD6" w:rsidRPr="00413148" w:rsidRDefault="00936AD6" w:rsidP="000E5671"/>
    <w:p w14:paraId="6EC951FF" w14:textId="77777777" w:rsidR="00936AD6" w:rsidRPr="00413148" w:rsidRDefault="59678320" w:rsidP="00113630">
      <w:pPr>
        <w:pStyle w:val="Heading3"/>
        <w:numPr>
          <w:ilvl w:val="0"/>
          <w:numId w:val="13"/>
        </w:numPr>
        <w:spacing w:before="0" w:after="0"/>
        <w:ind w:left="900" w:hanging="360"/>
        <w:rPr>
          <w:rFonts w:cs="Arial"/>
          <w:b/>
          <w:bCs/>
          <w:color w:val="4B0082"/>
          <w:sz w:val="32"/>
          <w:szCs w:val="32"/>
        </w:rPr>
      </w:pPr>
      <w:bookmarkStart w:id="39" w:name="_Toc218083759"/>
      <w:r w:rsidRPr="00413148">
        <w:rPr>
          <w:rFonts w:cs="Arial"/>
          <w:b/>
          <w:bCs/>
          <w:color w:val="4B0082"/>
          <w:sz w:val="32"/>
          <w:szCs w:val="32"/>
        </w:rPr>
        <w:t xml:space="preserve">Applications and </w:t>
      </w:r>
      <w:r w:rsidR="5507C9FE" w:rsidRPr="00413148">
        <w:rPr>
          <w:rFonts w:cs="Arial"/>
          <w:b/>
          <w:bCs/>
          <w:color w:val="4B0082"/>
          <w:sz w:val="32"/>
          <w:szCs w:val="32"/>
        </w:rPr>
        <w:t>Selection Criteria</w:t>
      </w:r>
      <w:bookmarkEnd w:id="39"/>
    </w:p>
    <w:p w14:paraId="3C5BA603" w14:textId="77777777" w:rsidR="00936AD6" w:rsidRPr="00413148" w:rsidRDefault="00936AD6" w:rsidP="000E5671"/>
    <w:p w14:paraId="22FC9D07" w14:textId="77777777" w:rsidR="00936AD6" w:rsidRPr="00413148" w:rsidRDefault="59678320" w:rsidP="000E5671">
      <w:r w:rsidRPr="00413148">
        <w:t xml:space="preserve">Under the NYCHRL, it is </w:t>
      </w:r>
      <w:r w:rsidR="0066746B" w:rsidRPr="00413148">
        <w:t xml:space="preserve">generally </w:t>
      </w:r>
      <w:r w:rsidRPr="00413148">
        <w:t xml:space="preserve">unlawful for a housing provider to “use any form of application for the purchase, rental or lease” of “a housing accommodation or an interest therein or to make any record </w:t>
      </w:r>
      <w:r w:rsidRPr="00413148">
        <w:lastRenderedPageBreak/>
        <w:t>or inquiry in conjunction with the prospective purchase, rental or lease of such a housing accommodation or an interest therein which expresses, directly or indirectly, any limitation, specification or discrimination” against individuals with disabilities, or “any intent to make any such limitation, specification or discrimination.”</w:t>
      </w:r>
      <w:r w:rsidR="00936AD6" w:rsidRPr="00413148">
        <w:rPr>
          <w:rStyle w:val="FootnoteReference"/>
        </w:rPr>
        <w:footnoteReference w:id="176"/>
      </w:r>
      <w:r w:rsidRPr="00413148">
        <w:t xml:space="preserve"> Applications and </w:t>
      </w:r>
      <w:r w:rsidR="3EDFFD8A" w:rsidRPr="00413148">
        <w:t>selection</w:t>
      </w:r>
      <w:r w:rsidRPr="00413148">
        <w:t>s should instead focus inquiries on an applicant’s ability to meet the requirements of the tenancy.</w:t>
      </w:r>
    </w:p>
    <w:p w14:paraId="5020EA83" w14:textId="77777777" w:rsidR="00936AD6" w:rsidRPr="00413148" w:rsidRDefault="00936AD6" w:rsidP="000E5671"/>
    <w:p w14:paraId="19D17CAF" w14:textId="113FA35A" w:rsidR="00936AD6" w:rsidRPr="00413148" w:rsidRDefault="00936AD6" w:rsidP="000E5671">
      <w:r w:rsidRPr="00413148">
        <w:t>There are, however, a narrow set of circumstances in which a housing provider may inquire about a housing applicant’s disability. For example, if a dwelling is legally available only to persons with a disability or to individuals with a particular type of disability, a housing provider may inquire about an applicant’s disability status.</w:t>
      </w:r>
      <w:r w:rsidR="00AD1B41" w:rsidRPr="00413148">
        <w:rPr>
          <w:rStyle w:val="FootnoteReference"/>
        </w:rPr>
        <w:footnoteReference w:id="177"/>
      </w:r>
      <w:r w:rsidRPr="00413148">
        <w:t xml:space="preserve"> The housing provider should not, however, ask applicants if they have other types of medical conditions. Additionally, if an applicant’s </w:t>
      </w:r>
      <w:r w:rsidR="00FA3BA0" w:rsidRPr="00413148">
        <w:t>qualifying</w:t>
      </w:r>
      <w:r w:rsidRPr="00413148">
        <w:t xml:space="preserve"> disability </w:t>
      </w:r>
      <w:r w:rsidR="00F95FC1" w:rsidRPr="00413148">
        <w:t>or</w:t>
      </w:r>
      <w:r w:rsidRPr="00413148">
        <w:t xml:space="preserve"> need for accessible features is not readily apparent, the housing provider may</w:t>
      </w:r>
      <w:r w:rsidR="00404BE1" w:rsidRPr="00413148">
        <w:t xml:space="preserve"> only</w:t>
      </w:r>
      <w:r w:rsidRPr="00413148">
        <w:t xml:space="preserve"> request information or documentation </w:t>
      </w:r>
      <w:r w:rsidR="00F00BBA" w:rsidRPr="00413148">
        <w:t>limited to what is necessary to demonstrate</w:t>
      </w:r>
      <w:r w:rsidR="002C1F8F" w:rsidRPr="00413148">
        <w:t xml:space="preserve"> the </w:t>
      </w:r>
      <w:r w:rsidR="006C62B3" w:rsidRPr="00413148">
        <w:t>applicant lives with</w:t>
      </w:r>
      <w:r w:rsidRPr="00413148">
        <w:t xml:space="preserve"> the disability needed to qualify for the housing. </w:t>
      </w:r>
      <w:r w:rsidR="002D6F77" w:rsidRPr="00413148">
        <w:t>H</w:t>
      </w:r>
      <w:r w:rsidRPr="00413148">
        <w:t>owever, it would be unlawful for housing providers to require medical documentation</w:t>
      </w:r>
      <w:r w:rsidR="002D6F77" w:rsidRPr="00413148">
        <w:t xml:space="preserve"> where the applicant has otherwise provided sufficient evidence of disability</w:t>
      </w:r>
      <w:r w:rsidRPr="00413148">
        <w:t>. Where a housing provider is inquiring about an individual’s disability</w:t>
      </w:r>
      <w:r w:rsidR="0029054C" w:rsidRPr="00413148">
        <w:t xml:space="preserve"> permissibly</w:t>
      </w:r>
      <w:r w:rsidRPr="00413148">
        <w:t xml:space="preserve">, the provider must </w:t>
      </w:r>
      <w:r w:rsidR="00B80176" w:rsidRPr="00413148">
        <w:t>explain</w:t>
      </w:r>
      <w:r w:rsidRPr="00413148">
        <w:t xml:space="preserve"> why they are requesting this information. Any medical information obtained by the housing provider should be kept confidential.</w:t>
      </w:r>
    </w:p>
    <w:p w14:paraId="14A8F7EE" w14:textId="77777777" w:rsidR="00936AD6" w:rsidRPr="00413148" w:rsidRDefault="00936AD6" w:rsidP="000E5671"/>
    <w:p w14:paraId="313C1B56" w14:textId="77777777" w:rsidR="00936AD6" w:rsidRPr="00413148" w:rsidRDefault="00936AD6" w:rsidP="00113630">
      <w:pPr>
        <w:pStyle w:val="Heading3"/>
        <w:numPr>
          <w:ilvl w:val="0"/>
          <w:numId w:val="13"/>
        </w:numPr>
        <w:spacing w:before="0" w:after="0"/>
        <w:ind w:left="900" w:hanging="360"/>
        <w:rPr>
          <w:rFonts w:cs="Arial"/>
          <w:color w:val="4B0082"/>
          <w:sz w:val="32"/>
          <w:szCs w:val="32"/>
        </w:rPr>
      </w:pPr>
      <w:bookmarkStart w:id="40" w:name="_Toc218083760"/>
      <w:r w:rsidRPr="00413148">
        <w:rPr>
          <w:rFonts w:cs="Arial"/>
          <w:b/>
          <w:bCs/>
          <w:color w:val="4B0082"/>
          <w:sz w:val="32"/>
          <w:szCs w:val="32"/>
        </w:rPr>
        <w:t>Reasonable Accommodations in Housing</w:t>
      </w:r>
      <w:bookmarkEnd w:id="40"/>
    </w:p>
    <w:p w14:paraId="69F17CB8" w14:textId="77777777" w:rsidR="00936AD6" w:rsidRPr="00413148" w:rsidRDefault="00936AD6" w:rsidP="000E5671">
      <w:pPr>
        <w:rPr>
          <w:color w:val="4B0082"/>
        </w:rPr>
      </w:pPr>
    </w:p>
    <w:p w14:paraId="704A8DCF" w14:textId="78E9EE1D" w:rsidR="00936AD6" w:rsidRPr="00413148" w:rsidRDefault="00CC42B2" w:rsidP="000E5671">
      <w:r w:rsidRPr="00413148">
        <w:t xml:space="preserve">It is important to note the breadth of the definition of housing </w:t>
      </w:r>
      <w:r w:rsidR="00D6160F" w:rsidRPr="00413148">
        <w:t>accommodation</w:t>
      </w:r>
      <w:r w:rsidRPr="00413148">
        <w:t xml:space="preserve"> under the NYCHRL, which </w:t>
      </w:r>
      <w:r w:rsidR="00D6160F" w:rsidRPr="00413148">
        <w:t>includes</w:t>
      </w:r>
      <w:r w:rsidR="00FD5DB7" w:rsidRPr="00413148">
        <w:t>,</w:t>
      </w:r>
      <w:r w:rsidR="00D6160F" w:rsidRPr="00413148">
        <w:t xml:space="preserve"> </w:t>
      </w:r>
      <w:r w:rsidR="00813CC2" w:rsidRPr="00413148">
        <w:t>but is not limited to:</w:t>
      </w:r>
      <w:r w:rsidR="00D6160F" w:rsidRPr="00413148">
        <w:t xml:space="preserve"> market rate, rent stabilized</w:t>
      </w:r>
      <w:r w:rsidR="006000C8" w:rsidRPr="00413148">
        <w:t>,</w:t>
      </w:r>
      <w:r w:rsidRPr="00413148">
        <w:t xml:space="preserve"> and </w:t>
      </w:r>
      <w:r w:rsidR="006000C8" w:rsidRPr="00413148">
        <w:t>rent controlled apartments</w:t>
      </w:r>
      <w:r w:rsidR="00813CC2" w:rsidRPr="00413148">
        <w:t>;</w:t>
      </w:r>
      <w:r w:rsidRPr="00413148">
        <w:t xml:space="preserve"> </w:t>
      </w:r>
      <w:r w:rsidRPr="00413148">
        <w:lastRenderedPageBreak/>
        <w:t>condominium</w:t>
      </w:r>
      <w:r w:rsidR="006000C8" w:rsidRPr="00413148">
        <w:t>s</w:t>
      </w:r>
      <w:r w:rsidR="00813CC2" w:rsidRPr="00413148">
        <w:t>;</w:t>
      </w:r>
      <w:r w:rsidRPr="00413148">
        <w:t xml:space="preserve"> </w:t>
      </w:r>
      <w:r w:rsidR="006000C8" w:rsidRPr="00413148">
        <w:t xml:space="preserve">housing </w:t>
      </w:r>
      <w:r w:rsidRPr="00413148">
        <w:t>cooperative</w:t>
      </w:r>
      <w:r w:rsidR="006000C8" w:rsidRPr="00413148">
        <w:t>s</w:t>
      </w:r>
      <w:r w:rsidR="009F0448" w:rsidRPr="00413148">
        <w:t>; shelters; and supportive housing</w:t>
      </w:r>
      <w:r w:rsidRPr="00413148">
        <w:t>.</w:t>
      </w:r>
      <w:r w:rsidR="00B4334A" w:rsidRPr="00413148">
        <w:rPr>
          <w:rStyle w:val="FootnoteReference"/>
        </w:rPr>
        <w:footnoteReference w:id="178"/>
      </w:r>
      <w:r w:rsidRPr="00413148">
        <w:t xml:space="preserve"> </w:t>
      </w:r>
      <w:r w:rsidR="00936AD6" w:rsidRPr="00413148">
        <w:t>A reasonable accommodation in housing provides</w:t>
      </w:r>
      <w:r w:rsidR="00936AD6" w:rsidRPr="00413148">
        <w:rPr>
          <w:rStyle w:val="FootnoteReference"/>
        </w:rPr>
        <w:footnoteReference w:id="179"/>
      </w:r>
      <w:r w:rsidR="00936AD6" w:rsidRPr="00413148">
        <w:t xml:space="preserve"> an individual with a disability an equal opportunity to apply for, obtain recertification for, use, and enjoy a dwelling, including public and common use spaces.</w:t>
      </w:r>
      <w:r w:rsidR="00936AD6" w:rsidRPr="00413148">
        <w:rPr>
          <w:rStyle w:val="FootnoteReference"/>
        </w:rPr>
        <w:footnoteReference w:id="180"/>
      </w:r>
      <w:r w:rsidR="00936AD6" w:rsidRPr="00413148">
        <w:t xml:space="preserve"> This may involve a structural change to the physical space, or an exception or adjustment to a policy or practice. In considering accommodations for tenants or residents with disabilities, a housing provider’s first obligation is to accommodate the individual so that they may remain in their current unit. When that is not possible, or would constitute an undue </w:t>
      </w:r>
      <w:r w:rsidR="00D42EE1" w:rsidRPr="00413148">
        <w:t>hardship</w:t>
      </w:r>
      <w:r w:rsidR="00936AD6" w:rsidRPr="00413148">
        <w:t>, a housing provider may then consider whether the resident may be relocated to an accessible unit, or other potential accommodations that may allow the resident to equally use and enjoy their home.</w:t>
      </w:r>
      <w:r w:rsidR="00936AD6" w:rsidRPr="00413148">
        <w:rPr>
          <w:rStyle w:val="FootnoteReference"/>
        </w:rPr>
        <w:footnoteReference w:id="181"/>
      </w:r>
    </w:p>
    <w:p w14:paraId="772F3EC6" w14:textId="77777777" w:rsidR="00936AD6" w:rsidRPr="00413148" w:rsidRDefault="00936AD6" w:rsidP="000E5671"/>
    <w:p w14:paraId="0437A847" w14:textId="51AD9577" w:rsidR="00936AD6" w:rsidRPr="00413148" w:rsidRDefault="00936AD6" w:rsidP="000E5671">
      <w:r w:rsidRPr="00413148">
        <w:t xml:space="preserve">If a housing provider is required to make a reasonable accommodation for a tenant’s disability, the housing provider </w:t>
      </w:r>
      <w:r w:rsidR="00F073F5" w:rsidRPr="00413148">
        <w:t xml:space="preserve">generally </w:t>
      </w:r>
      <w:r w:rsidRPr="00413148">
        <w:t xml:space="preserve">is prohibited from passing, directly or indirectly, any portion </w:t>
      </w:r>
      <w:r w:rsidRPr="00413148">
        <w:lastRenderedPageBreak/>
        <w:t>of the cost of providing the reasonable accommodation onto the tenant through any fee, rent increase, or other charge.</w:t>
      </w:r>
      <w:r w:rsidRPr="00413148">
        <w:rPr>
          <w:rStyle w:val="FootnoteReference"/>
        </w:rPr>
        <w:footnoteReference w:id="182"/>
      </w:r>
      <w:r w:rsidRPr="00413148">
        <w:t xml:space="preserve"> Furthermore, once an accommodation is made, under the NYCHRL, a housing provider cannot require a tenant to restore the housing back to its original condition at the end of the tenancy or pass the cost of doing so onto the tenant.</w:t>
      </w:r>
      <w:r w:rsidR="00A73ADD" w:rsidRPr="00413148">
        <w:rPr>
          <w:rStyle w:val="FootnoteReference"/>
        </w:rPr>
        <w:footnoteReference w:id="183"/>
      </w:r>
      <w:r w:rsidR="00B80176" w:rsidRPr="00413148">
        <w:t xml:space="preserve"> </w:t>
      </w:r>
      <w:r w:rsidR="006344E8" w:rsidRPr="00413148">
        <w:t>Owners and shareholders of coops and condominiums are not required to cover costs for interior modifications of units owned by others in the coop or condominium, but must not inappropriately hinder interior modifications intended to make a unit accessible for an individual with a disability.</w:t>
      </w:r>
    </w:p>
    <w:p w14:paraId="10E22CD4" w14:textId="77777777" w:rsidR="000E5671" w:rsidRPr="00413148" w:rsidRDefault="000E5671" w:rsidP="000E5671"/>
    <w:p w14:paraId="663F5C7F" w14:textId="77777777" w:rsidR="00936AD6" w:rsidRPr="00413148" w:rsidRDefault="00936AD6" w:rsidP="00113630">
      <w:pPr>
        <w:pStyle w:val="Heading4"/>
        <w:numPr>
          <w:ilvl w:val="2"/>
          <w:numId w:val="9"/>
        </w:numPr>
        <w:spacing w:before="0" w:after="0"/>
        <w:ind w:left="1440" w:hanging="540"/>
        <w:rPr>
          <w:rFonts w:cs="Arial"/>
          <w:b/>
          <w:bCs/>
          <w:color w:val="4B0082"/>
        </w:rPr>
      </w:pPr>
      <w:r w:rsidRPr="00413148">
        <w:rPr>
          <w:rFonts w:cs="Arial"/>
          <w:b/>
          <w:bCs/>
          <w:color w:val="4B0082"/>
        </w:rPr>
        <w:t>Physical Space and Technology</w:t>
      </w:r>
      <w:r w:rsidR="2A7992EF" w:rsidRPr="00413148">
        <w:rPr>
          <w:rFonts w:cs="Arial"/>
          <w:b/>
          <w:bCs/>
          <w:color w:val="4B0082"/>
        </w:rPr>
        <w:t xml:space="preserve"> </w:t>
      </w:r>
    </w:p>
    <w:p w14:paraId="27CC5086" w14:textId="77777777" w:rsidR="00936AD6" w:rsidRPr="00413148" w:rsidRDefault="00936AD6" w:rsidP="000E5671">
      <w:pPr>
        <w:rPr>
          <w:color w:val="4B0082"/>
        </w:rPr>
      </w:pPr>
    </w:p>
    <w:p w14:paraId="6439FD18" w14:textId="77777777" w:rsidR="00936AD6" w:rsidRPr="00413148" w:rsidRDefault="15AA96A7" w:rsidP="000E5671">
      <w:r w:rsidRPr="00413148">
        <w:t>A reasonable accommodation will often involve making the housing accommodation more accessible for individuals with disabilities, either through alterations to the existing physical space and structures, or through the installation and/or use of technology, at the housing provider’s expense.</w:t>
      </w:r>
      <w:r w:rsidR="00936AD6" w:rsidRPr="00413148">
        <w:rPr>
          <w:rStyle w:val="FootnoteReference"/>
        </w:rPr>
        <w:footnoteReference w:id="184"/>
      </w:r>
      <w:r w:rsidR="63AC5C76" w:rsidRPr="00413148">
        <w:t xml:space="preserve"> </w:t>
      </w:r>
      <w:r w:rsidR="598776CA" w:rsidRPr="00413148">
        <w:t>H</w:t>
      </w:r>
      <w:r w:rsidR="64D6C0CB" w:rsidRPr="00413148">
        <w:t>ousing provider</w:t>
      </w:r>
      <w:r w:rsidR="560A4773" w:rsidRPr="00413148">
        <w:t>s</w:t>
      </w:r>
      <w:r w:rsidR="64D6C0CB" w:rsidRPr="00413148">
        <w:t xml:space="preserve"> cannot require the </w:t>
      </w:r>
      <w:r w:rsidR="54FE5988" w:rsidRPr="00413148">
        <w:t xml:space="preserve">tenant or </w:t>
      </w:r>
      <w:r w:rsidR="54FE5988" w:rsidRPr="00413148">
        <w:lastRenderedPageBreak/>
        <w:t xml:space="preserve">resident to agree to restore </w:t>
      </w:r>
      <w:r w:rsidR="06651CC1" w:rsidRPr="00413148">
        <w:t>the</w:t>
      </w:r>
      <w:r w:rsidR="7C935830" w:rsidRPr="00413148">
        <w:t xml:space="preserve"> housing</w:t>
      </w:r>
      <w:r w:rsidR="06651CC1" w:rsidRPr="00413148">
        <w:t xml:space="preserve"> accommodation or unit to its original structure </w:t>
      </w:r>
      <w:r w:rsidR="3BC7B936" w:rsidRPr="00413148">
        <w:t xml:space="preserve">when they </w:t>
      </w:r>
      <w:r w:rsidR="30C19497" w:rsidRPr="00413148">
        <w:t>vacate</w:t>
      </w:r>
      <w:r w:rsidR="06651CC1" w:rsidRPr="00413148">
        <w:t xml:space="preserve"> the unit</w:t>
      </w:r>
      <w:r w:rsidR="560A4773" w:rsidRPr="00413148">
        <w:t>, however</w:t>
      </w:r>
      <w:r w:rsidR="0BEE8896" w:rsidRPr="00413148">
        <w:t>,</w:t>
      </w:r>
      <w:r w:rsidR="560A4773" w:rsidRPr="00413148">
        <w:t xml:space="preserve"> owners of condominium units and coop unit shares can be required to pay for the cost of </w:t>
      </w:r>
      <w:r w:rsidR="11250ACB" w:rsidRPr="00413148">
        <w:t>an</w:t>
      </w:r>
      <w:r w:rsidR="467070DD" w:rsidRPr="00413148">
        <w:t xml:space="preserve"> accommodation </w:t>
      </w:r>
      <w:r w:rsidR="74F3B9BE" w:rsidRPr="00413148">
        <w:t xml:space="preserve">that </w:t>
      </w:r>
      <w:r w:rsidR="467070DD" w:rsidRPr="00413148">
        <w:t>is in</w:t>
      </w:r>
      <w:r w:rsidR="0D96690D" w:rsidRPr="00413148">
        <w:t>side</w:t>
      </w:r>
      <w:r w:rsidR="467070DD" w:rsidRPr="00413148">
        <w:t xml:space="preserve"> their unit</w:t>
      </w:r>
      <w:r w:rsidR="06651CC1" w:rsidRPr="00413148">
        <w:t>.</w:t>
      </w:r>
      <w:r w:rsidR="369E0DD6" w:rsidRPr="00413148">
        <w:t xml:space="preserve"> </w:t>
      </w:r>
    </w:p>
    <w:p w14:paraId="1FAF6873" w14:textId="77777777" w:rsidR="00936AD6" w:rsidRPr="00413148" w:rsidRDefault="00936AD6" w:rsidP="000E5671"/>
    <w:p w14:paraId="2746B861" w14:textId="77777777" w:rsidR="005757A0" w:rsidRPr="00413148" w:rsidRDefault="15AA96A7" w:rsidP="000E5671">
      <w:r w:rsidRPr="00413148">
        <w:t>If the main entrance to a building is not accessible</w:t>
      </w:r>
      <w:r w:rsidR="00A15CB9" w:rsidRPr="00413148">
        <w:t xml:space="preserve"> and the housing provide</w:t>
      </w:r>
      <w:r w:rsidR="004C5E38" w:rsidRPr="00413148">
        <w:t>r</w:t>
      </w:r>
      <w:r w:rsidR="00A15CB9" w:rsidRPr="00413148">
        <w:t xml:space="preserve"> receives an accommodation request</w:t>
      </w:r>
      <w:r w:rsidRPr="00413148">
        <w:t>, the housing provider must explore how to make the entrance accessible.</w:t>
      </w:r>
      <w:r w:rsidR="00936AD6" w:rsidRPr="00413148">
        <w:rPr>
          <w:rStyle w:val="FootnoteReference"/>
        </w:rPr>
        <w:footnoteReference w:id="185"/>
      </w:r>
      <w:r w:rsidRPr="00413148">
        <w:t xml:space="preserve"> This may involve building a ramp; installing an electric door that opens automatically; installing a lift; installing intercoms or doorbells that light up instead of make sound; or issuing hard keys to individuals who have greater difficulty accessing doors with electronic key fobs. Under the NYCHRL, it is a best practice for housing providers to make every entrance or exit accessible to the extent that such alterations do not pose an undue hardship, where a tenant has made such a request.</w:t>
      </w:r>
      <w:r w:rsidR="00936AD6" w:rsidRPr="00413148">
        <w:rPr>
          <w:rStyle w:val="FootnoteReference"/>
        </w:rPr>
        <w:footnoteReference w:id="186"/>
      </w:r>
      <w:r w:rsidRPr="00413148">
        <w:rPr>
          <w:rStyle w:val="CommentReference"/>
          <w:rFonts w:ascii="Verdana" w:hAnsi="Verdana" w:cs="Tahoma"/>
          <w:sz w:val="24"/>
          <w:szCs w:val="24"/>
        </w:rPr>
        <w:t xml:space="preserve"> </w:t>
      </w:r>
      <w:r w:rsidRPr="00413148">
        <w:t xml:space="preserve">If a main entrance cannot be made accessible because doing so </w:t>
      </w:r>
      <w:r w:rsidR="233EF140" w:rsidRPr="00413148">
        <w:t>would constitute</w:t>
      </w:r>
      <w:r w:rsidRPr="00413148">
        <w:t xml:space="preserve"> an undue hardship, the housing provider must consider whether an alternative entrance could be made accessible.</w:t>
      </w:r>
    </w:p>
    <w:p w14:paraId="5F1C2858" w14:textId="77777777" w:rsidR="00BD2C50" w:rsidRPr="00413148" w:rsidRDefault="15AA96A7" w:rsidP="000E5671">
      <w:r w:rsidRPr="00413148">
        <w:t xml:space="preserve"> </w:t>
      </w:r>
    </w:p>
    <w:p w14:paraId="5644A045" w14:textId="66384532" w:rsidR="0080352C" w:rsidRPr="00413148" w:rsidRDefault="00BD2C50" w:rsidP="000E5671">
      <w:pPr>
        <w:rPr>
          <w:strike/>
          <w:highlight w:val="cyan"/>
        </w:rPr>
      </w:pPr>
      <w:r w:rsidRPr="00413148">
        <w:t>I</w:t>
      </w:r>
      <w:r w:rsidR="15AA96A7" w:rsidRPr="00413148">
        <w:t xml:space="preserve">t is impermissible for a housing provider to determine that a front entrance cannot be made accessible due to aesthetic concerns </w:t>
      </w:r>
      <w:r w:rsidR="15AA96A7" w:rsidRPr="00413148">
        <w:lastRenderedPageBreak/>
        <w:t xml:space="preserve">unrelated to legal </w:t>
      </w:r>
      <w:r w:rsidR="1738E48A" w:rsidRPr="00413148">
        <w:t>requirements</w:t>
      </w:r>
      <w:r w:rsidR="00E35742" w:rsidRPr="00413148">
        <w:t xml:space="preserve">. </w:t>
      </w:r>
      <w:r w:rsidR="00272130" w:rsidRPr="00413148">
        <w:t xml:space="preserve">Even where aesthetic concerns </w:t>
      </w:r>
      <w:r w:rsidR="00E02342" w:rsidRPr="00413148">
        <w:t xml:space="preserve">are </w:t>
      </w:r>
      <w:r w:rsidR="0098731F" w:rsidRPr="00413148">
        <w:t xml:space="preserve">tied </w:t>
      </w:r>
      <w:r w:rsidR="00D902DC" w:rsidRPr="00413148">
        <w:t>to other laws or rules</w:t>
      </w:r>
      <w:r w:rsidR="6230AE1E" w:rsidRPr="00413148" w:rsidDel="00272130">
        <w:t>,</w:t>
      </w:r>
      <w:r w:rsidR="15AA96A7" w:rsidRPr="00413148" w:rsidDel="00272130">
        <w:t xml:space="preserve"> such as</w:t>
      </w:r>
      <w:r w:rsidR="461511C6" w:rsidRPr="00413148">
        <w:t xml:space="preserve"> </w:t>
      </w:r>
      <w:r w:rsidR="01849898" w:rsidRPr="00413148">
        <w:t xml:space="preserve">those regarding </w:t>
      </w:r>
      <w:r w:rsidR="51D23D48" w:rsidRPr="00413148">
        <w:t>l</w:t>
      </w:r>
      <w:r w:rsidR="15AA96A7" w:rsidRPr="00413148">
        <w:t xml:space="preserve">andmark </w:t>
      </w:r>
      <w:r w:rsidR="120158FE" w:rsidRPr="00413148">
        <w:t>p</w:t>
      </w:r>
      <w:r w:rsidR="15AA96A7" w:rsidRPr="00413148">
        <w:t>reservation</w:t>
      </w:r>
      <w:r w:rsidR="267D7BB7" w:rsidRPr="00413148">
        <w:t xml:space="preserve">, </w:t>
      </w:r>
      <w:r w:rsidR="50CC1FB5" w:rsidRPr="00413148">
        <w:t>the housing provide</w:t>
      </w:r>
      <w:r w:rsidR="003F7F4B" w:rsidRPr="00413148">
        <w:t>r</w:t>
      </w:r>
      <w:r w:rsidR="50CC1FB5" w:rsidRPr="00413148">
        <w:t xml:space="preserve"> should explore seeking a waiver if</w:t>
      </w:r>
      <w:r w:rsidR="005757A0" w:rsidRPr="00413148">
        <w:rPr>
          <w:rFonts w:eastAsia="Arial" w:cs="Arial"/>
        </w:rPr>
        <w:t xml:space="preserve"> the requested accommodation is the only option that would </w:t>
      </w:r>
      <w:r w:rsidR="005757A0" w:rsidRPr="00413148">
        <w:t xml:space="preserve">allow a </w:t>
      </w:r>
      <w:r w:rsidR="00027E00" w:rsidRPr="00413148">
        <w:t xml:space="preserve">resident </w:t>
      </w:r>
      <w:r w:rsidR="005757A0" w:rsidRPr="00413148">
        <w:t>full enjoyment of the right(s) in question</w:t>
      </w:r>
      <w:r w:rsidR="005757A0" w:rsidRPr="00413148">
        <w:rPr>
          <w:rFonts w:eastAsia="Arial" w:cs="Arial"/>
        </w:rPr>
        <w:t xml:space="preserve">, and the requestor or the </w:t>
      </w:r>
      <w:r w:rsidR="009F0E5A" w:rsidRPr="00413148">
        <w:rPr>
          <w:rFonts w:eastAsia="Arial" w:cs="Arial"/>
        </w:rPr>
        <w:t>housing provider</w:t>
      </w:r>
      <w:r w:rsidR="005757A0" w:rsidRPr="00413148">
        <w:rPr>
          <w:rFonts w:eastAsia="Arial" w:cs="Arial"/>
        </w:rPr>
        <w:t xml:space="preserve"> </w:t>
      </w:r>
      <w:r w:rsidR="005757A0" w:rsidRPr="00413148">
        <w:t>is</w:t>
      </w:r>
      <w:r w:rsidR="005757A0" w:rsidRPr="00413148">
        <w:rPr>
          <w:rFonts w:eastAsia="Arial" w:cs="Arial"/>
        </w:rPr>
        <w:t xml:space="preserve"> aware of </w:t>
      </w:r>
      <w:r w:rsidR="7992BE3F" w:rsidRPr="00413148">
        <w:rPr>
          <w:rFonts w:eastAsia="Arial" w:cs="Arial"/>
        </w:rPr>
        <w:t xml:space="preserve">or becomes aware of </w:t>
      </w:r>
      <w:r w:rsidR="005757A0" w:rsidRPr="00413148">
        <w:t>a potential waiver from the applicable laws</w:t>
      </w:r>
      <w:r w:rsidR="3C72560F" w:rsidRPr="00413148">
        <w:t xml:space="preserve"> or</w:t>
      </w:r>
      <w:r w:rsidR="006344E8" w:rsidRPr="00413148">
        <w:t xml:space="preserve"> </w:t>
      </w:r>
      <w:r w:rsidR="005757A0" w:rsidRPr="00413148">
        <w:t>rules.</w:t>
      </w:r>
      <w:r w:rsidR="00F01275" w:rsidRPr="00413148">
        <w:rPr>
          <w:rStyle w:val="FootnoteReference"/>
        </w:rPr>
        <w:footnoteReference w:id="187"/>
      </w:r>
      <w:r w:rsidR="005757A0" w:rsidRPr="00413148">
        <w:t xml:space="preserve"> </w:t>
      </w:r>
    </w:p>
    <w:p w14:paraId="21C54AEA" w14:textId="77777777" w:rsidR="00936AD6" w:rsidRPr="00413148" w:rsidRDefault="00936AD6" w:rsidP="000E5671"/>
    <w:p w14:paraId="28D7B04D" w14:textId="11DE9C50" w:rsidR="00936AD6" w:rsidRPr="00413148" w:rsidRDefault="00936AD6" w:rsidP="000E5671">
      <w:r w:rsidRPr="00413148">
        <w:t>Apartment units and common spaces may be configured in a way that makes it extremely difficult or impossible for a resident with a disability to navigate or perform day-to-day activities such as bathing, cooking, or sleeping. In such circumstances, housing providers must provide alterations</w:t>
      </w:r>
      <w:r w:rsidR="00027E00" w:rsidRPr="00413148">
        <w:t>,</w:t>
      </w:r>
      <w:r w:rsidRPr="00413148">
        <w:t xml:space="preserve"> such as </w:t>
      </w:r>
      <w:r w:rsidR="00550849" w:rsidRPr="00413148">
        <w:t xml:space="preserve">widening doorways, </w:t>
      </w:r>
      <w:r w:rsidRPr="00413148">
        <w:t>installing grab bars to a bathtub, installing a roll-in shower</w:t>
      </w:r>
      <w:r w:rsidR="00F62A94" w:rsidRPr="00413148">
        <w:t>, changing doorknobs</w:t>
      </w:r>
      <w:r w:rsidR="00903EED" w:rsidRPr="00413148">
        <w:t xml:space="preserve"> and doorbells</w:t>
      </w:r>
      <w:r w:rsidRPr="00413148">
        <w:t>, or adjusting the location of appliances or other fixtures</w:t>
      </w:r>
      <w:r w:rsidR="00027E00" w:rsidRPr="00413148">
        <w:t>,</w:t>
      </w:r>
      <w:r w:rsidRPr="00413148">
        <w:t xml:space="preserve"> unless such alterations pose an undue hardship.</w:t>
      </w:r>
    </w:p>
    <w:p w14:paraId="759343C6" w14:textId="77777777" w:rsidR="00936AD6" w:rsidRPr="00413148" w:rsidRDefault="00936AD6" w:rsidP="000E5671"/>
    <w:p w14:paraId="2D9BFFE9" w14:textId="147FCEB5" w:rsidR="00936AD6" w:rsidRPr="00413148" w:rsidRDefault="59678320" w:rsidP="000E5671">
      <w:r w:rsidRPr="00413148">
        <w:t xml:space="preserve">When a housing accommodation has an elevator outage, it is a best practice for the housing provider to give notice of the disruption and provide a timeframe for the disruption to all residents. Reasonable accommodations </w:t>
      </w:r>
      <w:r w:rsidR="00EA592F" w:rsidRPr="00413148">
        <w:t>for</w:t>
      </w:r>
      <w:r w:rsidR="009771EE" w:rsidRPr="00413148">
        <w:t xml:space="preserve"> resident</w:t>
      </w:r>
      <w:r w:rsidR="00EA592F" w:rsidRPr="00413148">
        <w:t>s</w:t>
      </w:r>
      <w:r w:rsidR="009771EE" w:rsidRPr="00413148">
        <w:t xml:space="preserve"> </w:t>
      </w:r>
      <w:r w:rsidR="003D776F" w:rsidRPr="00413148">
        <w:t xml:space="preserve">with disabilities </w:t>
      </w:r>
      <w:r w:rsidR="00070B1B" w:rsidRPr="00413148">
        <w:t xml:space="preserve">who will be unable to </w:t>
      </w:r>
      <w:r w:rsidR="002137B0" w:rsidRPr="00413148">
        <w:t>use</w:t>
      </w:r>
      <w:r w:rsidR="004615A6" w:rsidRPr="00413148">
        <w:t>,</w:t>
      </w:r>
      <w:r w:rsidR="002137B0" w:rsidRPr="00413148">
        <w:t xml:space="preserve"> access</w:t>
      </w:r>
      <w:r w:rsidR="004615A6" w:rsidRPr="00413148">
        <w:t>, or exit</w:t>
      </w:r>
      <w:r w:rsidR="002137B0" w:rsidRPr="00413148">
        <w:t xml:space="preserve"> their dwelling</w:t>
      </w:r>
      <w:r w:rsidR="0032383E" w:rsidRPr="00413148">
        <w:t xml:space="preserve"> due to the elevator outage</w:t>
      </w:r>
      <w:r w:rsidR="002137B0" w:rsidRPr="00413148">
        <w:t xml:space="preserve"> or construction</w:t>
      </w:r>
      <w:r w:rsidR="009771EE" w:rsidRPr="00413148">
        <w:t xml:space="preserve"> </w:t>
      </w:r>
      <w:r w:rsidRPr="00413148">
        <w:t>may include</w:t>
      </w:r>
      <w:r w:rsidR="003D776F" w:rsidRPr="00413148">
        <w:t>:</w:t>
      </w:r>
      <w:r w:rsidRPr="00413148">
        <w:t xml:space="preserve"> relocating a resident to the ground floor if an apartment of suitable size to meet the resident’s needs is available; relocating a resident to another building if the housing provider has multiple buildings on one site; relocating a resident to another complex; paying any reasonable moving expenses; paying for a hotel or other residential option; providing services (</w:t>
      </w:r>
      <w:r w:rsidRPr="00413148">
        <w:rPr>
          <w:i/>
          <w:iCs/>
        </w:rPr>
        <w:t>i.e.</w:t>
      </w:r>
      <w:r w:rsidRPr="00413148">
        <w:t xml:space="preserve">, grocery delivery or mail delivery to the individual); providing assistance to navigate the stairs; </w:t>
      </w:r>
      <w:r w:rsidR="001E595A" w:rsidRPr="00413148">
        <w:t xml:space="preserve">providing rent abatement if </w:t>
      </w:r>
      <w:r w:rsidR="00EB7649" w:rsidRPr="00413148">
        <w:t xml:space="preserve">the </w:t>
      </w:r>
      <w:r w:rsidR="001E595A" w:rsidRPr="00413148">
        <w:t xml:space="preserve">resident cannot safely </w:t>
      </w:r>
      <w:r w:rsidR="00A25564" w:rsidRPr="00413148">
        <w:t>access</w:t>
      </w:r>
      <w:r w:rsidR="004615A6" w:rsidRPr="00413148">
        <w:t xml:space="preserve"> or exit</w:t>
      </w:r>
      <w:r w:rsidR="00A25564" w:rsidRPr="00413148">
        <w:t xml:space="preserve"> </w:t>
      </w:r>
      <w:r w:rsidR="00C14897" w:rsidRPr="00413148">
        <w:t>th</w:t>
      </w:r>
      <w:r w:rsidR="00B32225" w:rsidRPr="00413148">
        <w:t>e apartment</w:t>
      </w:r>
      <w:r w:rsidRPr="00413148">
        <w:t xml:space="preserve">; or a combination of multiple items </w:t>
      </w:r>
      <w:r w:rsidRPr="00413148">
        <w:lastRenderedPageBreak/>
        <w:t>listed above, provided that doing so will not cause the housing provider an undue hardship.</w:t>
      </w:r>
      <w:r w:rsidR="000F68E6" w:rsidRPr="00413148">
        <w:rPr>
          <w:rStyle w:val="FootnoteReference"/>
        </w:rPr>
        <w:footnoteReference w:id="188"/>
      </w:r>
    </w:p>
    <w:p w14:paraId="54B56695" w14:textId="77777777" w:rsidR="00936AD6" w:rsidRPr="00413148" w:rsidRDefault="00936AD6" w:rsidP="000E5671"/>
    <w:p w14:paraId="4E2D5345" w14:textId="77777777" w:rsidR="00936AD6" w:rsidRPr="00413148" w:rsidRDefault="59678320" w:rsidP="00113630">
      <w:pPr>
        <w:pStyle w:val="Heading4"/>
        <w:numPr>
          <w:ilvl w:val="0"/>
          <w:numId w:val="14"/>
        </w:numPr>
        <w:spacing w:before="0" w:after="0"/>
        <w:ind w:left="1440" w:hanging="540"/>
        <w:rPr>
          <w:rFonts w:cs="Arial"/>
          <w:b/>
          <w:bCs/>
          <w:color w:val="4B0082"/>
        </w:rPr>
      </w:pPr>
      <w:r w:rsidRPr="00413148">
        <w:rPr>
          <w:rFonts w:cs="Arial"/>
          <w:b/>
          <w:bCs/>
          <w:color w:val="4B0082"/>
        </w:rPr>
        <w:t>P</w:t>
      </w:r>
      <w:r w:rsidR="77A1D0A4" w:rsidRPr="00413148">
        <w:rPr>
          <w:rFonts w:cs="Arial"/>
          <w:b/>
          <w:bCs/>
          <w:color w:val="4B0082"/>
        </w:rPr>
        <w:t>olicies and Practices</w:t>
      </w:r>
    </w:p>
    <w:p w14:paraId="3BE0628C" w14:textId="77777777" w:rsidR="00936AD6" w:rsidRPr="00413148" w:rsidRDefault="00936AD6" w:rsidP="000E5671"/>
    <w:p w14:paraId="2A315E97" w14:textId="77777777" w:rsidR="00936AD6" w:rsidRPr="00413148" w:rsidRDefault="00936AD6" w:rsidP="000E5671">
      <w:r w:rsidRPr="00413148">
        <w:t>Housing accommodations may also provide reasonable accommodations by making exceptions or changes to their policies and practices. This can include exemptions or modifications to policies requiring payments be made via specific methods; limiting the places and ways in which tenants or residents dispose of garbage; and regulating the use of common spaces or equipment, such as communal laundry facilities.</w:t>
      </w:r>
    </w:p>
    <w:p w14:paraId="43069681" w14:textId="77777777" w:rsidR="007B3023" w:rsidRPr="00413148" w:rsidRDefault="007B3023" w:rsidP="000E5671"/>
    <w:p w14:paraId="6EC8AFEC" w14:textId="77777777" w:rsidR="00936AD6" w:rsidRPr="00413148" w:rsidRDefault="00936AD6" w:rsidP="00113630">
      <w:pPr>
        <w:pStyle w:val="Heading4"/>
        <w:numPr>
          <w:ilvl w:val="0"/>
          <w:numId w:val="32"/>
        </w:numPr>
        <w:spacing w:before="0" w:after="0"/>
        <w:ind w:left="1440" w:hanging="540"/>
        <w:rPr>
          <w:rFonts w:cs="Arial"/>
          <w:b/>
          <w:bCs/>
        </w:rPr>
      </w:pPr>
      <w:r w:rsidRPr="00413148">
        <w:rPr>
          <w:rFonts w:cs="Arial"/>
          <w:b/>
          <w:bCs/>
          <w:color w:val="4B0082"/>
        </w:rPr>
        <w:t>Service Animals and Emotional Support Animals</w:t>
      </w:r>
    </w:p>
    <w:p w14:paraId="2411E181" w14:textId="77777777" w:rsidR="00936AD6" w:rsidRPr="00413148" w:rsidRDefault="00936AD6" w:rsidP="000E5671"/>
    <w:p w14:paraId="5D04D393" w14:textId="77777777" w:rsidR="003034A1" w:rsidRPr="00413148" w:rsidRDefault="003034A1" w:rsidP="003034A1">
      <w:r w:rsidRPr="00413148">
        <w:t>Housing providers are required to reasonably accommodate persons with disabilities who rely on service animals or emotional support animals by providing exceptions or making modifications to “no pet” or “no dog” policies. If housing providers have “no pets” policies, charge pet fees, or have breed, weight, or size restrictions on pets, they must make exceptions or modifications to these policies in situations in which a resident requests to keep a service animal or emotional support animal in their housing unit due to a disability, unless doing so would cause the housing provider an undue hardship.</w:t>
      </w:r>
    </w:p>
    <w:p w14:paraId="1D3593B5" w14:textId="77777777" w:rsidR="003034A1" w:rsidRPr="00413148" w:rsidRDefault="003034A1"/>
    <w:p w14:paraId="2B705069" w14:textId="65877319" w:rsidR="00F21D2B" w:rsidRPr="00413148" w:rsidRDefault="00F21D2B" w:rsidP="009900BB">
      <w:r w:rsidRPr="00413148">
        <w:t>Service animals</w:t>
      </w:r>
      <w:r w:rsidR="00344B21" w:rsidRPr="00413148">
        <w:t xml:space="preserve"> and emotional support animals</w:t>
      </w:r>
      <w:r w:rsidRPr="00413148">
        <w:t xml:space="preserve"> are not pets. </w:t>
      </w:r>
      <w:r w:rsidR="00A278EC" w:rsidRPr="00413148">
        <w:t>Housing p</w:t>
      </w:r>
      <w:r w:rsidRPr="00413148">
        <w:t xml:space="preserve">roviders are required to accommodate </w:t>
      </w:r>
      <w:r w:rsidR="00A278EC" w:rsidRPr="00413148">
        <w:t>residents</w:t>
      </w:r>
      <w:r w:rsidRPr="00413148">
        <w:t xml:space="preserve"> with disabilities who rely on service animals</w:t>
      </w:r>
      <w:r w:rsidR="00A278EC" w:rsidRPr="00413148">
        <w:t xml:space="preserve"> and emotional support animals</w:t>
      </w:r>
      <w:r w:rsidRPr="00413148">
        <w:t xml:space="preserve"> by providing exceptions to “no pet” or “no animal” policies. A service animal is an </w:t>
      </w:r>
      <w:r w:rsidRPr="00413148">
        <w:lastRenderedPageBreak/>
        <w:t>animal that does work or performs tasks for an individual with a disability.</w:t>
      </w:r>
      <w:r w:rsidRPr="00413148">
        <w:rPr>
          <w:rStyle w:val="FootnoteReference"/>
        </w:rPr>
        <w:footnoteReference w:id="189"/>
      </w:r>
      <w:r w:rsidRPr="00413148">
        <w:t xml:space="preserve"> </w:t>
      </w:r>
      <w:r w:rsidR="00694BC4" w:rsidRPr="00413148">
        <w:t xml:space="preserve">An emotional support animal is not a pet, it </w:t>
      </w:r>
      <w:r w:rsidR="009F4600" w:rsidRPr="00413148">
        <w:t xml:space="preserve">serves as </w:t>
      </w:r>
      <w:r w:rsidR="00694BC4" w:rsidRPr="00413148">
        <w:t>a reasonable accommodation that allows a resident to use and enjoy housing as other tenants do.</w:t>
      </w:r>
      <w:r w:rsidR="0060391C" w:rsidRPr="00413148">
        <w:rPr>
          <w:rStyle w:val="FootnoteReference"/>
        </w:rPr>
        <w:footnoteReference w:id="190"/>
      </w:r>
      <w:r w:rsidR="00694BC4" w:rsidRPr="00413148">
        <w:t xml:space="preserve"> </w:t>
      </w:r>
      <w:r w:rsidRPr="00413148">
        <w:t xml:space="preserve">If </w:t>
      </w:r>
      <w:r w:rsidR="00694BC4" w:rsidRPr="00413148">
        <w:t>housing providers</w:t>
      </w:r>
      <w:r w:rsidRPr="00413148">
        <w:t xml:space="preserve"> have “no pet”</w:t>
      </w:r>
      <w:r w:rsidR="00A91AC1" w:rsidRPr="00413148">
        <w:t xml:space="preserve"> or “no a</w:t>
      </w:r>
      <w:r w:rsidR="18295DBF" w:rsidRPr="00413148">
        <w:t>ni</w:t>
      </w:r>
      <w:r w:rsidR="00A91AC1" w:rsidRPr="00413148">
        <w:t>mal”</w:t>
      </w:r>
      <w:r w:rsidRPr="00413148">
        <w:t xml:space="preserve"> policies, charge pet fees, or have breed, weight, or size restrictions on pets, exceptions to these policies are required </w:t>
      </w:r>
      <w:r w:rsidR="00A91AC1" w:rsidRPr="00413148">
        <w:t>when a resident asks to have a service animal or an emotional support animal</w:t>
      </w:r>
      <w:r w:rsidR="003855A9" w:rsidRPr="00413148">
        <w:t xml:space="preserve"> in their unit</w:t>
      </w:r>
      <w:r w:rsidR="00A91AC1" w:rsidRPr="00413148">
        <w:t xml:space="preserve">, </w:t>
      </w:r>
      <w:r w:rsidRPr="00413148">
        <w:t>unless such exceptions would cause an undue hardship</w:t>
      </w:r>
      <w:r w:rsidR="00A91AC1" w:rsidRPr="00413148">
        <w:t>.</w:t>
      </w:r>
    </w:p>
    <w:p w14:paraId="0EC994D4" w14:textId="77777777" w:rsidR="00F21D2B" w:rsidRPr="00413148" w:rsidRDefault="00F21D2B" w:rsidP="00F21D2B"/>
    <w:p w14:paraId="665F43D5" w14:textId="77777777" w:rsidR="00F21D2B" w:rsidRPr="00413148" w:rsidRDefault="00F21D2B" w:rsidP="000E5671">
      <w:r w:rsidRPr="00413148">
        <w:t xml:space="preserve">Allowing a resident to have a service animal </w:t>
      </w:r>
      <w:r w:rsidR="003855A9" w:rsidRPr="00413148">
        <w:t xml:space="preserve">or emotional support animal </w:t>
      </w:r>
      <w:r w:rsidRPr="00413148">
        <w:t>in</w:t>
      </w:r>
      <w:r w:rsidR="003855A9" w:rsidRPr="00413148">
        <w:t xml:space="preserve"> their uni</w:t>
      </w:r>
      <w:r w:rsidR="00835166" w:rsidRPr="00413148">
        <w:t>t</w:t>
      </w:r>
      <w:r w:rsidRPr="00413148">
        <w:t xml:space="preserve"> </w:t>
      </w:r>
      <w:r w:rsidR="009869F3" w:rsidRPr="00413148">
        <w:t xml:space="preserve">rarely </w:t>
      </w:r>
      <w:r w:rsidRPr="00413148">
        <w:t>will cause an undue hardship, even where there is a “no pet” policy. The possibility of incidental property damage does not usually constitute an undue hardship. Where a particular animal creates legitimate health or safety concerns or creates a nuisance, the housing provider must engage in a cooperative dialogue with the person using the service animal to determine potential alternatives or pathways to address the legitimate concern, before requiring that the</w:t>
      </w:r>
      <w:r w:rsidR="00835166" w:rsidRPr="00413148">
        <w:t xml:space="preserve"> resident</w:t>
      </w:r>
      <w:r w:rsidRPr="00413148">
        <w:t xml:space="preserve"> remove the service animal</w:t>
      </w:r>
      <w:r w:rsidR="00835166" w:rsidRPr="00413148">
        <w:t xml:space="preserve"> or emotional support animal</w:t>
      </w:r>
      <w:r w:rsidRPr="00413148">
        <w:t xml:space="preserve"> or taking other adverse action.</w:t>
      </w:r>
      <w:r w:rsidRPr="00413148">
        <w:rPr>
          <w:rStyle w:val="FootnoteReference"/>
        </w:rPr>
        <w:footnoteReference w:id="191"/>
      </w:r>
      <w:r w:rsidRPr="00413148">
        <w:t xml:space="preserve"> Where city, state, or federal laws prohibit ownership of certain animals and no exception </w:t>
      </w:r>
      <w:r w:rsidR="0017497A" w:rsidRPr="00413148">
        <w:t xml:space="preserve">or waiver </w:t>
      </w:r>
      <w:r w:rsidRPr="00413148">
        <w:t xml:space="preserve">is provided, it will be an undue hardship for a covered entity to permit </w:t>
      </w:r>
      <w:r w:rsidR="0A830AB7" w:rsidRPr="00413148">
        <w:t>the</w:t>
      </w:r>
      <w:r w:rsidRPr="00413148">
        <w:t xml:space="preserve"> prohibited animal as a service or emotional support animal.</w:t>
      </w:r>
      <w:r w:rsidRPr="00413148">
        <w:rPr>
          <w:rStyle w:val="FootnoteReference"/>
        </w:rPr>
        <w:footnoteReference w:id="192"/>
      </w:r>
    </w:p>
    <w:p w14:paraId="6FBA32C5" w14:textId="77777777" w:rsidR="00F21D2B" w:rsidRPr="00413148" w:rsidRDefault="00F21D2B" w:rsidP="000E5671"/>
    <w:p w14:paraId="553A9B16" w14:textId="3B5AF780" w:rsidR="001562D4" w:rsidRPr="00413148" w:rsidRDefault="00F21D2B" w:rsidP="000E5671">
      <w:r w:rsidRPr="00413148">
        <w:t xml:space="preserve">When a </w:t>
      </w:r>
      <w:r w:rsidR="0017497A" w:rsidRPr="00413148">
        <w:t>resident</w:t>
      </w:r>
      <w:r w:rsidRPr="00413148">
        <w:t xml:space="preserve"> seeks to have an service animal, and the person’s disability or the need for the service animal is not apparent,</w:t>
      </w:r>
      <w:r w:rsidRPr="00413148">
        <w:rPr>
          <w:rStyle w:val="FootnoteReference"/>
        </w:rPr>
        <w:footnoteReference w:id="193"/>
      </w:r>
      <w:r w:rsidRPr="00413148">
        <w:t xml:space="preserve"> the covered entity may ask that the person provide a statement from a </w:t>
      </w:r>
      <w:r w:rsidRPr="00413148">
        <w:lastRenderedPageBreak/>
        <w:t>health professional</w:t>
      </w:r>
      <w:r w:rsidRPr="00413148">
        <w:rPr>
          <w:rStyle w:val="FootnoteReference"/>
        </w:rPr>
        <w:footnoteReference w:id="194"/>
      </w:r>
      <w:r w:rsidRPr="00413148">
        <w:t xml:space="preserve"> indicating</w:t>
      </w:r>
      <w:r w:rsidR="00B61DB7" w:rsidRPr="00413148">
        <w:t xml:space="preserve"> that</w:t>
      </w:r>
      <w:r w:rsidRPr="00413148">
        <w:t>: (1) the person has a disability</w:t>
      </w:r>
      <w:r w:rsidR="00FA4FA4" w:rsidRPr="00413148">
        <w:t>, but the housing provider should note that the individual is not required to disclose their specific medical diagnosis</w:t>
      </w:r>
      <w:r w:rsidRPr="00413148">
        <w:t>; and (2) the service animal is trained to perform tasks that ameliorate one or more symptoms or effects of the disability.</w:t>
      </w:r>
      <w:r w:rsidRPr="00413148">
        <w:rPr>
          <w:rStyle w:val="CommentReference"/>
          <w:rFonts w:ascii="Verdana" w:hAnsi="Verdana" w:cs="Tahoma"/>
          <w:sz w:val="24"/>
          <w:szCs w:val="24"/>
        </w:rPr>
        <w:t xml:space="preserve"> </w:t>
      </w:r>
      <w:r w:rsidR="009E4AE5" w:rsidRPr="00413148">
        <w:rPr>
          <w:rStyle w:val="CommentReference"/>
          <w:rFonts w:cs="Arial"/>
          <w:sz w:val="32"/>
          <w:szCs w:val="32"/>
        </w:rPr>
        <w:t>Similarly,</w:t>
      </w:r>
      <w:r w:rsidR="009E4AE5" w:rsidRPr="00413148">
        <w:rPr>
          <w:rStyle w:val="CommentReference"/>
          <w:rFonts w:ascii="Verdana" w:hAnsi="Verdana" w:cs="Tahoma"/>
          <w:sz w:val="24"/>
          <w:szCs w:val="24"/>
        </w:rPr>
        <w:t xml:space="preserve"> </w:t>
      </w:r>
      <w:r w:rsidR="00FF1E47" w:rsidRPr="00413148">
        <w:rPr>
          <w:rStyle w:val="CommentReference"/>
          <w:rFonts w:cs="Arial"/>
          <w:sz w:val="32"/>
          <w:szCs w:val="32"/>
        </w:rPr>
        <w:t>w</w:t>
      </w:r>
      <w:r w:rsidR="00FF1E47" w:rsidRPr="00413148">
        <w:t>hen either a resident’s disability or the need for a requested emotional support animal is not apparent,</w:t>
      </w:r>
      <w:r w:rsidR="00FF1E47" w:rsidRPr="00413148">
        <w:rPr>
          <w:rStyle w:val="FootnoteReference"/>
        </w:rPr>
        <w:footnoteReference w:id="195"/>
      </w:r>
      <w:r w:rsidR="00FF1E47" w:rsidRPr="00413148">
        <w:t xml:space="preserve"> the housing provider may ask that the resident provide a statement from a health professional indicating</w:t>
      </w:r>
      <w:r w:rsidR="00B61DB7" w:rsidRPr="00413148">
        <w:t xml:space="preserve"> that</w:t>
      </w:r>
      <w:r w:rsidR="00FF1E47" w:rsidRPr="00413148">
        <w:t xml:space="preserve">: (1) the </w:t>
      </w:r>
      <w:r w:rsidR="001562D4" w:rsidRPr="00413148">
        <w:t>resident</w:t>
      </w:r>
      <w:r w:rsidR="00FF1E47" w:rsidRPr="00413148">
        <w:t xml:space="preserve"> has a disability, but the housing provider should note that the individual is not required to disclose their specific diagnosis; and (2) an animal provides emotional support or other assistance that does or would ameliorate one or more symptoms or effects of the disability.</w:t>
      </w:r>
    </w:p>
    <w:p w14:paraId="2DC0B599" w14:textId="77777777" w:rsidR="00F21D2B" w:rsidRPr="00413148" w:rsidRDefault="00F21D2B" w:rsidP="000E5671">
      <w:r w:rsidRPr="00413148">
        <w:t>If a</w:t>
      </w:r>
      <w:r w:rsidR="001562D4" w:rsidRPr="00413148">
        <w:t>n individual</w:t>
      </w:r>
      <w:r w:rsidRPr="00413148">
        <w:t xml:space="preserve"> requests to use or bring a service animal</w:t>
      </w:r>
      <w:r w:rsidR="001562D4" w:rsidRPr="00413148">
        <w:t xml:space="preserve"> or emotional support animal</w:t>
      </w:r>
      <w:r w:rsidRPr="00413148">
        <w:t xml:space="preserve"> as an accommodation, and if both the </w:t>
      </w:r>
      <w:r w:rsidR="001562D4" w:rsidRPr="00413148">
        <w:t>individual</w:t>
      </w:r>
      <w:r w:rsidRPr="00413148">
        <w:t xml:space="preserve">’s disability and the need for the requested animal are apparent or otherwise known to the covered entity, the covered entity may not inquire about the </w:t>
      </w:r>
      <w:r w:rsidR="001562D4" w:rsidRPr="00413148">
        <w:t>individual</w:t>
      </w:r>
      <w:r w:rsidRPr="00413148">
        <w:t>’s disability or the need for the service animal. For example, if an individual who is blind requests an accommodation for the service animal who guides them, housing providers</w:t>
      </w:r>
      <w:r w:rsidR="298D3098" w:rsidRPr="00413148">
        <w:t xml:space="preserve"> </w:t>
      </w:r>
      <w:r w:rsidRPr="00413148">
        <w:t>may not inquire about the person’s disability</w:t>
      </w:r>
      <w:r w:rsidR="00175C4F" w:rsidRPr="00413148">
        <w:t>,</w:t>
      </w:r>
      <w:r w:rsidRPr="00413148">
        <w:t xml:space="preserve"> the animal’s training</w:t>
      </w:r>
      <w:r w:rsidR="00175C4F" w:rsidRPr="00413148">
        <w:t>,</w:t>
      </w:r>
      <w:r w:rsidRPr="00413148">
        <w:t xml:space="preserve"> require medical documentation to justify the need for the service animal</w:t>
      </w:r>
      <w:r w:rsidR="00175C4F" w:rsidRPr="00413148">
        <w:t>, or require that the individual demo</w:t>
      </w:r>
      <w:r w:rsidR="6373C35B" w:rsidRPr="00413148">
        <w:t>n</w:t>
      </w:r>
      <w:r w:rsidR="00175C4F" w:rsidRPr="00413148">
        <w:t>strate the animal’s abil</w:t>
      </w:r>
      <w:r w:rsidR="53120DED" w:rsidRPr="00413148">
        <w:t>i</w:t>
      </w:r>
      <w:r w:rsidR="00175C4F" w:rsidRPr="00413148">
        <w:t>ty to perform its task</w:t>
      </w:r>
      <w:r w:rsidRPr="00413148">
        <w:t>.</w:t>
      </w:r>
    </w:p>
    <w:p w14:paraId="55038460" w14:textId="77777777" w:rsidR="00F21D2B" w:rsidRPr="00413148" w:rsidRDefault="00F21D2B" w:rsidP="000E5671"/>
    <w:p w14:paraId="02FA2FE5" w14:textId="353DB9DF" w:rsidR="00936AD6" w:rsidRPr="00413148" w:rsidRDefault="00F21D2B" w:rsidP="000E5671">
      <w:r w:rsidRPr="00413148">
        <w:t>Housing providers</w:t>
      </w:r>
      <w:r w:rsidR="3598F7BC" w:rsidRPr="00413148">
        <w:t xml:space="preserve"> </w:t>
      </w:r>
      <w:r w:rsidRPr="00413148">
        <w:t xml:space="preserve">may not require individuals to provide medical records or details of a disability beyond what is </w:t>
      </w:r>
      <w:r w:rsidR="25ED8ED9" w:rsidRPr="00413148">
        <w:t>necessary</w:t>
      </w:r>
      <w:r w:rsidRPr="00413148">
        <w:t xml:space="preserve"> to demonstrate the existence of a disability and the relationship between the disability and the requested accommodation. Housing providers are permitted to request limited information regarding </w:t>
      </w:r>
      <w:r w:rsidR="00AA53D3" w:rsidRPr="00413148">
        <w:t xml:space="preserve">the animal’s </w:t>
      </w:r>
      <w:r w:rsidRPr="00413148">
        <w:t>vaccinations, and to ask for photographs</w:t>
      </w:r>
      <w:r w:rsidR="00190D85" w:rsidRPr="00413148">
        <w:t xml:space="preserve"> of the animal</w:t>
      </w:r>
      <w:r w:rsidRPr="00413148">
        <w:t xml:space="preserve"> for identification.</w:t>
      </w:r>
    </w:p>
    <w:p w14:paraId="530C0F93" w14:textId="77777777" w:rsidR="00C03F70" w:rsidRPr="00413148" w:rsidRDefault="00C03F70" w:rsidP="000E5671"/>
    <w:p w14:paraId="10BE5AC4" w14:textId="77777777" w:rsidR="00C24B0A" w:rsidRPr="00413148" w:rsidRDefault="00C24B0A" w:rsidP="00113630">
      <w:pPr>
        <w:pStyle w:val="Heading4"/>
        <w:numPr>
          <w:ilvl w:val="0"/>
          <w:numId w:val="33"/>
        </w:numPr>
        <w:spacing w:before="0" w:after="0"/>
        <w:ind w:left="1440" w:hanging="540"/>
        <w:rPr>
          <w:rFonts w:cs="Arial"/>
          <w:b/>
          <w:bCs/>
          <w:color w:val="4B0082"/>
        </w:rPr>
      </w:pPr>
      <w:r w:rsidRPr="00413148">
        <w:rPr>
          <w:rFonts w:cs="Arial"/>
          <w:b/>
          <w:bCs/>
          <w:color w:val="4B0082"/>
        </w:rPr>
        <w:t>Relocation</w:t>
      </w:r>
    </w:p>
    <w:p w14:paraId="71ACCBF2" w14:textId="77777777" w:rsidR="00C24B0A" w:rsidRPr="00413148" w:rsidRDefault="00C24B0A" w:rsidP="000E5671"/>
    <w:p w14:paraId="0D18EC57" w14:textId="3207D5A6" w:rsidR="00C24B0A" w:rsidRPr="00413148" w:rsidRDefault="781B3F60" w:rsidP="000E5671">
      <w:r w:rsidRPr="00413148">
        <w:t xml:space="preserve">Where a reasonable accommodation </w:t>
      </w:r>
      <w:r w:rsidR="240D6577" w:rsidRPr="00413148">
        <w:t xml:space="preserve">in a person’s existing unit </w:t>
      </w:r>
      <w:r w:rsidRPr="00413148">
        <w:t xml:space="preserve">is not possible given certain structural limitations of the building, the housing provider must consider alternative accommodations. Alternatives may include a temporary or permanent relocation of the resident to a different apartment building within the housing provider’s control, or to a different apartment within the same building. However, relocation, particularly to a different building, is generally an accommodation of last resort. A resident is not required to relocate if a physical modification to their unit is available and does not pose an undue hardship </w:t>
      </w:r>
      <w:r w:rsidR="00D96DA0">
        <w:t>for</w:t>
      </w:r>
      <w:r w:rsidRPr="00413148">
        <w:t xml:space="preserve"> the housing provider.</w:t>
      </w:r>
    </w:p>
    <w:p w14:paraId="102F8EF7" w14:textId="77777777" w:rsidR="00E731D0" w:rsidRPr="00413148" w:rsidRDefault="00E731D0" w:rsidP="000E5671"/>
    <w:p w14:paraId="0B8C468B" w14:textId="77777777" w:rsidR="00C24B0A" w:rsidRPr="00413148" w:rsidRDefault="00C24B0A" w:rsidP="00113630">
      <w:pPr>
        <w:pStyle w:val="Heading3"/>
        <w:numPr>
          <w:ilvl w:val="0"/>
          <w:numId w:val="9"/>
        </w:numPr>
        <w:ind w:left="900" w:hanging="360"/>
        <w:rPr>
          <w:rFonts w:cs="Arial"/>
          <w:b/>
          <w:bCs/>
          <w:color w:val="4B0082"/>
          <w:sz w:val="32"/>
          <w:szCs w:val="32"/>
        </w:rPr>
      </w:pPr>
      <w:bookmarkStart w:id="41" w:name="_Toc218083761"/>
      <w:r w:rsidRPr="00413148">
        <w:rPr>
          <w:rFonts w:cs="Arial"/>
          <w:b/>
          <w:bCs/>
          <w:color w:val="4B0082"/>
          <w:sz w:val="32"/>
          <w:szCs w:val="32"/>
        </w:rPr>
        <w:t>Defenses to a Claim of Failure to Provide Reasonable Accommodations in Housing</w:t>
      </w:r>
      <w:bookmarkEnd w:id="41"/>
    </w:p>
    <w:p w14:paraId="1F7AE770" w14:textId="77777777" w:rsidR="00C24B0A" w:rsidRPr="00413148" w:rsidRDefault="00C24B0A" w:rsidP="008A0C83"/>
    <w:p w14:paraId="490D7C38" w14:textId="582F64FF" w:rsidR="00C24B0A" w:rsidRPr="00413148" w:rsidRDefault="00C24B0A" w:rsidP="008A0C83">
      <w:r w:rsidRPr="00413148">
        <w:t xml:space="preserve">If a covered housing provider fails to provide an accommodation, it may defend its decision by asserting that there is no accommodation available that will meet the needs of the individual with </w:t>
      </w:r>
      <w:r w:rsidR="008E04B4" w:rsidRPr="00413148">
        <w:t>a</w:t>
      </w:r>
      <w:r w:rsidRPr="00413148">
        <w:t xml:space="preserve"> disability that does not pose an undue hardship, or that allow</w:t>
      </w:r>
      <w:r w:rsidR="00A67D6A" w:rsidRPr="00413148">
        <w:t>s</w:t>
      </w:r>
      <w:r w:rsidRPr="00413148">
        <w:t xml:space="preserve"> the tenant or resident to enjoy the rights in question. It is not a defense to a reasonable accommodation claim that the covered entity engaged in a cooperative dialogue.</w:t>
      </w:r>
      <w:r w:rsidRPr="00413148">
        <w:rPr>
          <w:rStyle w:val="FootnoteReference"/>
        </w:rPr>
        <w:footnoteReference w:id="196"/>
      </w:r>
      <w:r w:rsidRPr="00413148">
        <w:t xml:space="preserve">  </w:t>
      </w:r>
    </w:p>
    <w:p w14:paraId="25634397" w14:textId="77777777" w:rsidR="00C24B0A" w:rsidRPr="00413148" w:rsidRDefault="00C24B0A" w:rsidP="008A0C83"/>
    <w:p w14:paraId="6C24CA20" w14:textId="77777777" w:rsidR="00C24B0A" w:rsidRPr="00413148" w:rsidRDefault="00C24B0A" w:rsidP="00113630">
      <w:pPr>
        <w:pStyle w:val="Heading4"/>
        <w:numPr>
          <w:ilvl w:val="1"/>
          <w:numId w:val="9"/>
        </w:numPr>
        <w:spacing w:before="0" w:after="0"/>
        <w:ind w:left="1440" w:hanging="540"/>
        <w:rPr>
          <w:rFonts w:cs="Arial"/>
          <w:b/>
          <w:bCs/>
          <w:color w:val="4B0082"/>
        </w:rPr>
      </w:pPr>
      <w:r w:rsidRPr="00413148">
        <w:rPr>
          <w:rFonts w:cs="Arial"/>
          <w:b/>
          <w:bCs/>
          <w:color w:val="4B0082"/>
        </w:rPr>
        <w:t>Undue Hardship</w:t>
      </w:r>
    </w:p>
    <w:p w14:paraId="5A6B1866" w14:textId="77777777" w:rsidR="00C24B0A" w:rsidRPr="00413148" w:rsidRDefault="00C24B0A" w:rsidP="008A0C83"/>
    <w:p w14:paraId="5993D4C0" w14:textId="77777777" w:rsidR="00C24B0A" w:rsidRPr="00413148" w:rsidRDefault="781B3F60" w:rsidP="008A0C83">
      <w:r w:rsidRPr="00413148">
        <w:t>All accommodations are presumed reasonable unless the covered housing provider shows that they pose an undue hardship.</w:t>
      </w:r>
      <w:r w:rsidR="00C24B0A" w:rsidRPr="00413148">
        <w:rPr>
          <w:rStyle w:val="FootnoteReference"/>
        </w:rPr>
        <w:footnoteReference w:id="197"/>
      </w:r>
      <w:r w:rsidRPr="00413148">
        <w:t xml:space="preserve"> </w:t>
      </w:r>
      <w:r w:rsidRPr="00413148">
        <w:lastRenderedPageBreak/>
        <w:t>Evidence of undue hardship is assessed by a preponderance of the evidence standard.</w:t>
      </w:r>
      <w:r w:rsidR="00C24B0A" w:rsidRPr="00413148">
        <w:rPr>
          <w:rStyle w:val="FootnoteReference"/>
        </w:rPr>
        <w:footnoteReference w:id="198"/>
      </w:r>
      <w:r w:rsidRPr="00413148">
        <w:t xml:space="preserve"> </w:t>
      </w:r>
    </w:p>
    <w:p w14:paraId="17559F79" w14:textId="77777777" w:rsidR="00C24B0A" w:rsidRPr="00413148" w:rsidRDefault="00C24B0A" w:rsidP="008A0C83"/>
    <w:p w14:paraId="4AD390A4" w14:textId="77777777" w:rsidR="00C24B0A" w:rsidRPr="00413148" w:rsidRDefault="00C24B0A" w:rsidP="008A0C83">
      <w:r w:rsidRPr="00413148">
        <w:t>There is no accommodation—whether structural change to a unit, entrance or common space, changes to or exemptions from existing policies, or providing specific equipment—that is categorically excluded from the universe of reasonable accommodations under the NYCHRL because a covered housing provider must assess on a case-by-case basis whether a particular accommodation would cause undue hardship.</w:t>
      </w:r>
      <w:r w:rsidRPr="00413148">
        <w:rPr>
          <w:rStyle w:val="FootnoteReference"/>
        </w:rPr>
        <w:footnoteReference w:id="199"/>
      </w:r>
      <w:r w:rsidR="00D82D37" w:rsidRPr="00413148">
        <w:t xml:space="preserve"> A covered housing provider claiming an undue hardship has the burden to prove undue hardship by showing that no reasonable accommodation is available.</w:t>
      </w:r>
      <w:r w:rsidR="00D82D37" w:rsidRPr="00413148">
        <w:rPr>
          <w:rStyle w:val="FootnoteReference"/>
        </w:rPr>
        <w:footnoteReference w:id="200"/>
      </w:r>
    </w:p>
    <w:p w14:paraId="3160B972" w14:textId="77777777" w:rsidR="00C24B0A" w:rsidRPr="00413148" w:rsidRDefault="00C24B0A" w:rsidP="008A0C83">
      <w:pPr>
        <w:rPr>
          <w:highlight w:val="green"/>
        </w:rPr>
      </w:pPr>
    </w:p>
    <w:p w14:paraId="66B72A65" w14:textId="3A32FB75" w:rsidR="00C24B0A" w:rsidRPr="00413148" w:rsidRDefault="781B3F60" w:rsidP="00113630">
      <w:pPr>
        <w:pStyle w:val="Heading4"/>
        <w:numPr>
          <w:ilvl w:val="1"/>
          <w:numId w:val="9"/>
        </w:numPr>
        <w:spacing w:before="0" w:after="0"/>
        <w:ind w:left="1440" w:hanging="540"/>
        <w:rPr>
          <w:rFonts w:cs="Arial"/>
          <w:b/>
          <w:bCs/>
          <w:color w:val="4B0082"/>
        </w:rPr>
      </w:pPr>
      <w:r w:rsidRPr="00413148">
        <w:rPr>
          <w:rFonts w:cs="Arial"/>
          <w:b/>
          <w:bCs/>
          <w:color w:val="4B0082"/>
        </w:rPr>
        <w:t>Requested Accommodation(s)</w:t>
      </w:r>
      <w:r w:rsidR="00D77E4F" w:rsidRPr="00413148">
        <w:rPr>
          <w:rFonts w:cs="Arial"/>
          <w:b/>
          <w:bCs/>
          <w:color w:val="4B0082"/>
        </w:rPr>
        <w:t xml:space="preserve"> That</w:t>
      </w:r>
      <w:r w:rsidRPr="00413148">
        <w:rPr>
          <w:rFonts w:cs="Arial"/>
          <w:b/>
          <w:bCs/>
          <w:color w:val="4B0082"/>
        </w:rPr>
        <w:t xml:space="preserve"> </w:t>
      </w:r>
      <w:r w:rsidR="545516A8" w:rsidRPr="00413148">
        <w:rPr>
          <w:rFonts w:cs="Arial"/>
          <w:b/>
          <w:bCs/>
          <w:color w:val="4B0082"/>
        </w:rPr>
        <w:t>I</w:t>
      </w:r>
      <w:r w:rsidRPr="00413148">
        <w:rPr>
          <w:rFonts w:cs="Arial"/>
          <w:b/>
          <w:bCs/>
          <w:color w:val="4B0082"/>
        </w:rPr>
        <w:t xml:space="preserve">mplicate </w:t>
      </w:r>
      <w:r w:rsidR="4BA4619A" w:rsidRPr="00413148">
        <w:rPr>
          <w:rFonts w:cs="Arial"/>
          <w:b/>
          <w:bCs/>
          <w:color w:val="4B0082"/>
        </w:rPr>
        <w:t xml:space="preserve">Other </w:t>
      </w:r>
      <w:r w:rsidRPr="00413148">
        <w:rPr>
          <w:rFonts w:cs="Arial"/>
          <w:b/>
          <w:bCs/>
          <w:color w:val="4B0082"/>
        </w:rPr>
        <w:t>City, State, or Federal Law</w:t>
      </w:r>
      <w:r w:rsidR="00D77E4F" w:rsidRPr="00413148">
        <w:rPr>
          <w:rFonts w:cs="Arial"/>
          <w:b/>
          <w:bCs/>
          <w:color w:val="4B0082"/>
        </w:rPr>
        <w:t>s</w:t>
      </w:r>
      <w:r w:rsidRPr="00413148">
        <w:rPr>
          <w:rFonts w:cs="Arial"/>
          <w:b/>
          <w:bCs/>
          <w:color w:val="4B0082"/>
        </w:rPr>
        <w:t xml:space="preserve"> </w:t>
      </w:r>
    </w:p>
    <w:p w14:paraId="1BE258AF" w14:textId="77777777" w:rsidR="00C24B0A" w:rsidRPr="00413148" w:rsidRDefault="00C24B0A" w:rsidP="008A0C83"/>
    <w:p w14:paraId="5570EBF1" w14:textId="72B7CFF6" w:rsidR="00476577" w:rsidRPr="00413148" w:rsidRDefault="00C24B0A" w:rsidP="008A0C83">
      <w:r w:rsidRPr="00413148">
        <w:t>In some instances, a requested accommodation may conflict with federal, state, or local law</w:t>
      </w:r>
      <w:r w:rsidR="00FE221F" w:rsidRPr="00413148">
        <w:t>s</w:t>
      </w:r>
      <w:r w:rsidRPr="00413148">
        <w:t xml:space="preserve"> or regulations.</w:t>
      </w:r>
      <w:r w:rsidR="00476577" w:rsidRPr="00413148">
        <w:rPr>
          <w:rFonts w:ascii="Segoe UI" w:eastAsia="Times New Roman" w:hAnsi="Segoe UI" w:cs="Segoe UI"/>
          <w:sz w:val="18"/>
          <w:szCs w:val="18"/>
        </w:rPr>
        <w:t xml:space="preserve"> </w:t>
      </w:r>
      <w:r w:rsidR="00476577" w:rsidRPr="00413148">
        <w:t>Where the requested accommodation is the</w:t>
      </w:r>
      <w:r w:rsidR="00F01275" w:rsidRPr="00413148">
        <w:t xml:space="preserve"> </w:t>
      </w:r>
      <w:r w:rsidR="00476577" w:rsidRPr="00413148">
        <w:t xml:space="preserve">only option that would address the needs of an individual, and the requestor or housing provider </w:t>
      </w:r>
      <w:r w:rsidR="757E2675" w:rsidRPr="00413148">
        <w:t>is</w:t>
      </w:r>
      <w:r w:rsidR="00476577" w:rsidRPr="00413148">
        <w:t xml:space="preserve"> </w:t>
      </w:r>
      <w:r w:rsidR="00921622" w:rsidRPr="00413148">
        <w:t>aware</w:t>
      </w:r>
      <w:r w:rsidR="00476577" w:rsidRPr="00413148">
        <w:t xml:space="preserve"> </w:t>
      </w:r>
      <w:r w:rsidR="487DCE2D" w:rsidRPr="00413148">
        <w:t>or become</w:t>
      </w:r>
      <w:r w:rsidR="20CBD9EA" w:rsidRPr="00413148">
        <w:t>s</w:t>
      </w:r>
      <w:r w:rsidR="487DCE2D" w:rsidRPr="00413148">
        <w:t xml:space="preserve"> aware </w:t>
      </w:r>
      <w:r w:rsidR="00476577" w:rsidRPr="00413148">
        <w:t>of a potential waiver from applicable laws, rules, or regulations, the housing provider should explore</w:t>
      </w:r>
      <w:r w:rsidR="61780344" w:rsidRPr="00413148">
        <w:t xml:space="preserve"> </w:t>
      </w:r>
      <w:r w:rsidR="00476577" w:rsidRPr="00413148">
        <w:t xml:space="preserve">seeking a waiver. This means attempting </w:t>
      </w:r>
      <w:r w:rsidR="3F7016DF" w:rsidRPr="00413148">
        <w:t xml:space="preserve">to </w:t>
      </w:r>
      <w:r w:rsidR="00476577" w:rsidRPr="00413148">
        <w:t>contact the relevant oversight or enforcement</w:t>
      </w:r>
      <w:r w:rsidR="00B73256" w:rsidRPr="00413148">
        <w:t xml:space="preserve"> </w:t>
      </w:r>
      <w:r w:rsidR="00476577" w:rsidRPr="00413148">
        <w:t xml:space="preserve">authority to ascertain whether a waiver is possible and the process for the housing provider to request a waiver. </w:t>
      </w:r>
      <w:r w:rsidR="00F01275" w:rsidRPr="00413148">
        <w:t xml:space="preserve">For example, if an individual requests that a housing provider make the building where the individual lives accessible by constructing a ramp, but the initial survey indicates that a compliant ramp cannot be installed due to building codes, the housing provider should contact the agency responsible for enforcement of building codes to see if it is possible to </w:t>
      </w:r>
      <w:r w:rsidR="00F01275" w:rsidRPr="00413148">
        <w:lastRenderedPageBreak/>
        <w:t xml:space="preserve">request a waiver of the applicable rule and, if so, how to engage in the waiver process. </w:t>
      </w:r>
      <w:r w:rsidR="00476577" w:rsidRPr="00413148">
        <w:t>If a waiver is</w:t>
      </w:r>
      <w:r w:rsidR="00B73256" w:rsidRPr="00413148">
        <w:t xml:space="preserve"> </w:t>
      </w:r>
      <w:r w:rsidR="00476577" w:rsidRPr="00413148">
        <w:t>unavailable or the</w:t>
      </w:r>
      <w:r w:rsidR="00B73256" w:rsidRPr="00413148">
        <w:t xml:space="preserve"> </w:t>
      </w:r>
      <w:r w:rsidR="00476577" w:rsidRPr="00413148">
        <w:t>process of</w:t>
      </w:r>
      <w:r w:rsidR="00B73256" w:rsidRPr="00413148">
        <w:t xml:space="preserve"> </w:t>
      </w:r>
      <w:r w:rsidR="00476577" w:rsidRPr="00413148">
        <w:t>requesting a</w:t>
      </w:r>
      <w:r w:rsidR="00921622" w:rsidRPr="00413148">
        <w:t xml:space="preserve"> w</w:t>
      </w:r>
      <w:r w:rsidR="00476577" w:rsidRPr="00413148">
        <w:t>aiver would constitute</w:t>
      </w:r>
      <w:r w:rsidR="00921622" w:rsidRPr="00413148">
        <w:t xml:space="preserve"> </w:t>
      </w:r>
      <w:r w:rsidR="00476577" w:rsidRPr="00413148">
        <w:t>an undue hardship, that</w:t>
      </w:r>
      <w:r w:rsidR="00921622" w:rsidRPr="00413148">
        <w:t xml:space="preserve"> </w:t>
      </w:r>
      <w:r w:rsidR="00476577" w:rsidRPr="00413148">
        <w:t>accommodation may be found to be not reasonable.</w:t>
      </w:r>
      <w:r w:rsidR="4342E6A8" w:rsidRPr="00413148">
        <w:t xml:space="preserve"> </w:t>
      </w:r>
    </w:p>
    <w:p w14:paraId="6818697F" w14:textId="77777777" w:rsidR="001655AC" w:rsidRPr="00413148" w:rsidRDefault="001655AC" w:rsidP="008A0C83"/>
    <w:p w14:paraId="0B940B07" w14:textId="2DCC3FF5" w:rsidR="001655AC" w:rsidRPr="00413148" w:rsidRDefault="001655AC" w:rsidP="008A0C83">
      <w:pPr>
        <w:pStyle w:val="Heading1"/>
        <w:spacing w:before="0" w:after="0"/>
        <w:rPr>
          <w:rFonts w:ascii="Arial" w:hAnsi="Arial" w:cs="Arial"/>
          <w:b/>
          <w:color w:val="4B0082"/>
          <w:sz w:val="44"/>
          <w:szCs w:val="44"/>
        </w:rPr>
      </w:pPr>
      <w:bookmarkStart w:id="42" w:name="_Toc218083762"/>
      <w:r w:rsidRPr="00413148">
        <w:rPr>
          <w:rFonts w:ascii="Arial" w:hAnsi="Arial" w:cs="Arial"/>
          <w:b/>
          <w:bCs/>
          <w:color w:val="4B0082"/>
          <w:sz w:val="44"/>
          <w:szCs w:val="44"/>
        </w:rPr>
        <w:t>PART III</w:t>
      </w:r>
      <w:r w:rsidR="006B5DF1" w:rsidRPr="00413148">
        <w:rPr>
          <w:rFonts w:ascii="Arial" w:hAnsi="Arial" w:cs="Arial"/>
          <w:b/>
          <w:bCs/>
          <w:color w:val="4B0082"/>
          <w:sz w:val="44"/>
          <w:szCs w:val="44"/>
        </w:rPr>
        <w:t>:</w:t>
      </w:r>
      <w:r w:rsidRPr="00413148">
        <w:rPr>
          <w:rFonts w:ascii="Arial" w:hAnsi="Arial" w:cs="Arial"/>
          <w:b/>
          <w:bCs/>
          <w:color w:val="4B0082"/>
          <w:sz w:val="44"/>
          <w:szCs w:val="44"/>
        </w:rPr>
        <w:t xml:space="preserve"> </w:t>
      </w:r>
      <w:r w:rsidR="008360BD" w:rsidRPr="00413148">
        <w:rPr>
          <w:rFonts w:ascii="Arial" w:hAnsi="Arial" w:cs="Arial"/>
          <w:b/>
          <w:color w:val="4B0082"/>
          <w:sz w:val="44"/>
          <w:szCs w:val="44"/>
        </w:rPr>
        <w:t>Additional NYCHRL Disability Protections</w:t>
      </w:r>
      <w:bookmarkEnd w:id="42"/>
    </w:p>
    <w:p w14:paraId="01119DEC" w14:textId="77777777" w:rsidR="008A0C83" w:rsidRPr="00413148" w:rsidRDefault="008A0C83" w:rsidP="008A0C83">
      <w:pPr>
        <w:rPr>
          <w:highlight w:val="green"/>
        </w:rPr>
      </w:pPr>
    </w:p>
    <w:p w14:paraId="4977AF82" w14:textId="1E4EEAC0" w:rsidR="001655AC" w:rsidRPr="00413148" w:rsidRDefault="0025253A" w:rsidP="00113630">
      <w:pPr>
        <w:pStyle w:val="Heading2"/>
        <w:numPr>
          <w:ilvl w:val="0"/>
          <w:numId w:val="15"/>
        </w:numPr>
        <w:spacing w:before="0" w:after="0"/>
        <w:ind w:left="360"/>
        <w:rPr>
          <w:rFonts w:ascii="Arial" w:hAnsi="Arial" w:cs="Arial"/>
          <w:b/>
          <w:bCs/>
          <w:color w:val="4B0082"/>
          <w:sz w:val="36"/>
          <w:szCs w:val="36"/>
        </w:rPr>
      </w:pPr>
      <w:r w:rsidRPr="00413148">
        <w:rPr>
          <w:rFonts w:ascii="Arial" w:hAnsi="Arial" w:cs="Arial"/>
          <w:b/>
          <w:bCs/>
          <w:color w:val="4B0082"/>
          <w:sz w:val="36"/>
          <w:szCs w:val="36"/>
        </w:rPr>
        <w:t xml:space="preserve"> </w:t>
      </w:r>
      <w:bookmarkStart w:id="43" w:name="_Toc218083763"/>
      <w:r w:rsidR="001655AC" w:rsidRPr="00413148">
        <w:rPr>
          <w:rFonts w:ascii="Arial" w:hAnsi="Arial" w:cs="Arial"/>
          <w:b/>
          <w:bCs/>
          <w:color w:val="4B0082"/>
          <w:sz w:val="36"/>
          <w:szCs w:val="36"/>
        </w:rPr>
        <w:t>Retaliation</w:t>
      </w:r>
      <w:bookmarkEnd w:id="43"/>
    </w:p>
    <w:p w14:paraId="0F94EF43" w14:textId="77777777" w:rsidR="00C67076" w:rsidRPr="00413148" w:rsidRDefault="00C67076" w:rsidP="008A0C83"/>
    <w:p w14:paraId="5FAB996E" w14:textId="77777777" w:rsidR="001655AC" w:rsidRPr="00413148" w:rsidRDefault="7C6C1570" w:rsidP="008A0C83">
      <w:r w:rsidRPr="00413148">
        <w:t>The NYCHRL prohibits retaliation against an individual for opposing discrimination.</w:t>
      </w:r>
      <w:r w:rsidR="001655AC" w:rsidRPr="00413148">
        <w:rPr>
          <w:rStyle w:val="FootnoteReference"/>
        </w:rPr>
        <w:footnoteReference w:id="201"/>
      </w:r>
      <w:r w:rsidRPr="00413148">
        <w:t xml:space="preserve"> The purpose of the retaliation provision is to enable individuals to speak out against discrimination and to freely exercise their rights under the NYCHRL. Freedom from retaliation helps ensure that individuals needing accommodations will request them and promotes a culture where people are not afraid to exercise their rights. Retaliating against an individual because they opposed discrimination based on disability or perceived disability </w:t>
      </w:r>
      <w:r w:rsidR="00326F47" w:rsidRPr="00413148">
        <w:t xml:space="preserve">or requested a reasonable accommodation </w:t>
      </w:r>
      <w:r w:rsidRPr="00413148">
        <w:t>is a violation of the NYCHRL.</w:t>
      </w:r>
    </w:p>
    <w:p w14:paraId="552A04B9" w14:textId="77777777" w:rsidR="001655AC" w:rsidRPr="00413148" w:rsidRDefault="001655AC" w:rsidP="008A0C83">
      <w:pPr>
        <w:rPr>
          <w:rFonts w:cs="Arial"/>
          <w:b/>
          <w:bCs/>
        </w:rPr>
      </w:pPr>
    </w:p>
    <w:p w14:paraId="48041F66" w14:textId="517AF1F6" w:rsidR="001655AC" w:rsidRPr="00413148" w:rsidRDefault="7C6C1570" w:rsidP="008A0C83">
      <w:pPr>
        <w:rPr>
          <w:rFonts w:cs="Arial"/>
          <w:b/>
          <w:bCs/>
        </w:rPr>
      </w:pPr>
      <w:r w:rsidRPr="00413148">
        <w:rPr>
          <w:rFonts w:cs="Arial"/>
        </w:rPr>
        <w:t>A covered entity may not retaliate against an individual because they engage in protected activity, including: (1) oppos</w:t>
      </w:r>
      <w:r w:rsidR="00E70A27" w:rsidRPr="00413148">
        <w:rPr>
          <w:rFonts w:cs="Arial"/>
        </w:rPr>
        <w:t>ing</w:t>
      </w:r>
      <w:r w:rsidRPr="00413148">
        <w:rPr>
          <w:rFonts w:cs="Arial"/>
        </w:rPr>
        <w:t xml:space="preserve"> any discriminatory practice prohibited by the NYCHRL</w:t>
      </w:r>
      <w:r w:rsidR="3048A1C0" w:rsidRPr="00413148">
        <w:rPr>
          <w:rFonts w:cs="Arial"/>
        </w:rPr>
        <w:t>;</w:t>
      </w:r>
      <w:r w:rsidRPr="00413148">
        <w:rPr>
          <w:rFonts w:cs="Arial"/>
        </w:rPr>
        <w:t xml:space="preserve"> (2) fil</w:t>
      </w:r>
      <w:r w:rsidR="00E70A27" w:rsidRPr="00413148">
        <w:rPr>
          <w:rFonts w:cs="Arial"/>
        </w:rPr>
        <w:t>ing</w:t>
      </w:r>
      <w:r w:rsidRPr="00413148">
        <w:rPr>
          <w:rFonts w:cs="Arial"/>
        </w:rPr>
        <w:t xml:space="preserve"> a complaint</w:t>
      </w:r>
      <w:r w:rsidR="00DF30F9" w:rsidRPr="00413148">
        <w:rPr>
          <w:rFonts w:cs="Arial"/>
        </w:rPr>
        <w:t xml:space="preserve"> or</w:t>
      </w:r>
      <w:r w:rsidRPr="00413148">
        <w:rPr>
          <w:rFonts w:cs="Arial"/>
        </w:rPr>
        <w:t xml:space="preserve"> testify</w:t>
      </w:r>
      <w:r w:rsidR="00E70A27" w:rsidRPr="00413148">
        <w:rPr>
          <w:rFonts w:cs="Arial"/>
        </w:rPr>
        <w:t>ing</w:t>
      </w:r>
      <w:r w:rsidRPr="00413148">
        <w:rPr>
          <w:rFonts w:cs="Arial"/>
        </w:rPr>
        <w:t xml:space="preserve"> or </w:t>
      </w:r>
      <w:r w:rsidR="502DC060" w:rsidRPr="00413148">
        <w:rPr>
          <w:rFonts w:cs="Arial"/>
        </w:rPr>
        <w:t>participat</w:t>
      </w:r>
      <w:r w:rsidR="00E70A27" w:rsidRPr="00413148">
        <w:rPr>
          <w:rFonts w:cs="Arial"/>
        </w:rPr>
        <w:t>ing</w:t>
      </w:r>
      <w:r w:rsidR="502DC060" w:rsidRPr="00413148">
        <w:rPr>
          <w:rFonts w:cs="Arial"/>
        </w:rPr>
        <w:t xml:space="preserve"> in</w:t>
      </w:r>
      <w:r w:rsidRPr="00413148">
        <w:rPr>
          <w:rFonts w:cs="Arial"/>
        </w:rPr>
        <w:t xml:space="preserve"> any proceeding </w:t>
      </w:r>
      <w:r w:rsidR="00DF30F9" w:rsidRPr="00413148">
        <w:rPr>
          <w:rFonts w:cs="Arial"/>
        </w:rPr>
        <w:t xml:space="preserve">brought </w:t>
      </w:r>
      <w:r w:rsidRPr="00413148">
        <w:rPr>
          <w:rFonts w:cs="Arial"/>
        </w:rPr>
        <w:t>under the NYCHRL</w:t>
      </w:r>
      <w:r w:rsidR="1B2C3644" w:rsidRPr="00413148">
        <w:rPr>
          <w:rFonts w:cs="Arial"/>
        </w:rPr>
        <w:t>;</w:t>
      </w:r>
      <w:r w:rsidRPr="00413148">
        <w:rPr>
          <w:rFonts w:cs="Arial"/>
        </w:rPr>
        <w:t xml:space="preserve"> (3) commenc</w:t>
      </w:r>
      <w:r w:rsidR="00E70A27" w:rsidRPr="00413148">
        <w:rPr>
          <w:rFonts w:cs="Arial"/>
        </w:rPr>
        <w:t>ing</w:t>
      </w:r>
      <w:r w:rsidRPr="00413148">
        <w:rPr>
          <w:rFonts w:cs="Arial"/>
        </w:rPr>
        <w:t xml:space="preserve"> a civil action alleging an unlawful discriminatory practice under the NYCHRL</w:t>
      </w:r>
      <w:r w:rsidR="0FDB5DB9" w:rsidRPr="00413148">
        <w:rPr>
          <w:rFonts w:cs="Arial"/>
        </w:rPr>
        <w:t>;</w:t>
      </w:r>
      <w:r w:rsidRPr="00413148">
        <w:rPr>
          <w:rFonts w:cs="Arial"/>
        </w:rPr>
        <w:t xml:space="preserve"> (4) assist</w:t>
      </w:r>
      <w:r w:rsidR="000E0F20" w:rsidRPr="00413148">
        <w:rPr>
          <w:rFonts w:cs="Arial"/>
        </w:rPr>
        <w:t>ing</w:t>
      </w:r>
      <w:r w:rsidRPr="00413148">
        <w:rPr>
          <w:rFonts w:cs="Arial"/>
        </w:rPr>
        <w:t xml:space="preserve"> the Commission or the corporation counsel in an investigation commenced pursuant to the NYCHRL; (5) request</w:t>
      </w:r>
      <w:r w:rsidR="000E0F20" w:rsidRPr="00413148">
        <w:rPr>
          <w:rFonts w:cs="Arial"/>
        </w:rPr>
        <w:t>ing</w:t>
      </w:r>
      <w:r w:rsidRPr="00413148">
        <w:rPr>
          <w:rFonts w:cs="Arial"/>
        </w:rPr>
        <w:t xml:space="preserve"> a reasonable accommodation</w:t>
      </w:r>
      <w:r w:rsidR="50C721DE" w:rsidRPr="00413148">
        <w:rPr>
          <w:rFonts w:cs="Arial"/>
        </w:rPr>
        <w:t>;</w:t>
      </w:r>
      <w:r w:rsidRPr="00413148">
        <w:rPr>
          <w:rFonts w:cs="Arial"/>
        </w:rPr>
        <w:t xml:space="preserve"> or (6) provid</w:t>
      </w:r>
      <w:r w:rsidR="000E0F20" w:rsidRPr="00413148">
        <w:rPr>
          <w:rFonts w:cs="Arial"/>
        </w:rPr>
        <w:t>ing</w:t>
      </w:r>
      <w:r w:rsidRPr="00413148">
        <w:rPr>
          <w:rFonts w:cs="Arial"/>
        </w:rPr>
        <w:t xml:space="preserve"> any information to the Commission pursuant to the terms of a conciliation agreement made pursuant to § 8-115 of this </w:t>
      </w:r>
      <w:r w:rsidR="00C06A9B" w:rsidRPr="00413148">
        <w:rPr>
          <w:rFonts w:cs="Arial"/>
        </w:rPr>
        <w:t>C</w:t>
      </w:r>
      <w:r w:rsidRPr="00413148">
        <w:rPr>
          <w:rFonts w:cs="Arial"/>
        </w:rPr>
        <w:t>hapter.</w:t>
      </w:r>
      <w:r w:rsidR="001655AC" w:rsidRPr="00413148">
        <w:rPr>
          <w:rStyle w:val="FootnoteReference"/>
        </w:rPr>
        <w:footnoteReference w:id="202"/>
      </w:r>
      <w:r w:rsidRPr="00413148">
        <w:t xml:space="preserve"> In order to establish a </w:t>
      </w:r>
      <w:r w:rsidRPr="00413148">
        <w:rPr>
          <w:i/>
          <w:iCs/>
        </w:rPr>
        <w:t>prima facie</w:t>
      </w:r>
      <w:r w:rsidRPr="00413148">
        <w:t xml:space="preserve"> retaliation </w:t>
      </w:r>
      <w:r w:rsidRPr="00413148">
        <w:lastRenderedPageBreak/>
        <w:t>claim, an individual must show that: (1) the individual engaged in a protected activity</w:t>
      </w:r>
      <w:r w:rsidR="6127993C" w:rsidRPr="00413148">
        <w:t>;</w:t>
      </w:r>
      <w:r w:rsidRPr="00413148">
        <w:t xml:space="preserve"> (2) the covered entity was aware of the activity</w:t>
      </w:r>
      <w:r w:rsidR="51CBEA88" w:rsidRPr="00413148">
        <w:t>;</w:t>
      </w:r>
      <w:r w:rsidRPr="00413148">
        <w:t xml:space="preserve"> (3) the individual suffered an adverse action</w:t>
      </w:r>
      <w:r w:rsidR="0F2DD93E" w:rsidRPr="00413148">
        <w:t>;</w:t>
      </w:r>
      <w:r w:rsidRPr="00413148">
        <w:t xml:space="preserve"> and (4) there was a causal connection between the protected activity and the adverse action.</w:t>
      </w:r>
      <w:r w:rsidR="001655AC" w:rsidRPr="00413148">
        <w:rPr>
          <w:rStyle w:val="FootnoteReference"/>
        </w:rPr>
        <w:footnoteReference w:id="203"/>
      </w:r>
    </w:p>
    <w:p w14:paraId="61355F00" w14:textId="77777777" w:rsidR="001655AC" w:rsidRPr="00413148" w:rsidRDefault="001655AC" w:rsidP="008A0C83">
      <w:pPr>
        <w:rPr>
          <w:rFonts w:cs="Arial"/>
          <w:b/>
          <w:bCs/>
        </w:rPr>
      </w:pPr>
    </w:p>
    <w:p w14:paraId="578A5FC3" w14:textId="77777777" w:rsidR="001655AC" w:rsidRPr="00413148" w:rsidRDefault="001655AC" w:rsidP="008A0C83">
      <w:pPr>
        <w:rPr>
          <w:rFonts w:cs="Arial"/>
          <w:b/>
          <w:bCs/>
        </w:rPr>
      </w:pPr>
      <w:r w:rsidRPr="00413148">
        <w:rPr>
          <w:rFonts w:cs="Arial"/>
        </w:rPr>
        <w:t>When an individual opposes what they believe in good faith to be unlawful discrimination, it is illegal to retaliate against the individual even if the conduct they opposed</w:t>
      </w:r>
      <w:r w:rsidR="007474E8" w:rsidRPr="00413148">
        <w:rPr>
          <w:rFonts w:cs="Arial"/>
        </w:rPr>
        <w:t xml:space="preserve"> ultimately</w:t>
      </w:r>
      <w:r w:rsidRPr="00413148">
        <w:rPr>
          <w:rFonts w:cs="Arial"/>
        </w:rPr>
        <w:t xml:space="preserve"> is </w:t>
      </w:r>
      <w:r w:rsidR="00CF0B34" w:rsidRPr="00413148">
        <w:rPr>
          <w:rFonts w:cs="Arial"/>
        </w:rPr>
        <w:t xml:space="preserve">determined </w:t>
      </w:r>
      <w:r w:rsidRPr="00413148">
        <w:rPr>
          <w:rFonts w:cs="Arial"/>
        </w:rPr>
        <w:t>not to violate the NYCHRL. For example, if an employee experiences</w:t>
      </w:r>
      <w:r w:rsidR="52FFDD73" w:rsidRPr="00413148">
        <w:rPr>
          <w:rFonts w:cs="Arial"/>
        </w:rPr>
        <w:t xml:space="preserve"> an</w:t>
      </w:r>
      <w:r w:rsidRPr="00413148">
        <w:rPr>
          <w:rFonts w:cs="Arial"/>
        </w:rPr>
        <w:t xml:space="preserve"> adverse action for raising concerns to their employer about the treatment of a colleague with disabilities, even if the treatment of the colleague does not amount to discrimination, the employee may have a claim for retaliation.</w:t>
      </w:r>
      <w:r w:rsidRPr="00413148">
        <w:rPr>
          <w:rStyle w:val="FootnoteReference"/>
        </w:rPr>
        <w:footnoteReference w:id="204"/>
      </w:r>
    </w:p>
    <w:p w14:paraId="728890BB" w14:textId="77777777" w:rsidR="001655AC" w:rsidRPr="00413148" w:rsidRDefault="001655AC" w:rsidP="008A0C83">
      <w:pPr>
        <w:rPr>
          <w:rFonts w:cs="Arial"/>
          <w:b/>
          <w:bCs/>
        </w:rPr>
      </w:pPr>
    </w:p>
    <w:p w14:paraId="7C254E6A" w14:textId="731EA008" w:rsidR="001655AC" w:rsidRPr="00413148" w:rsidRDefault="7C6C1570" w:rsidP="008A0C83">
      <w:pPr>
        <w:rPr>
          <w:rFonts w:cs="Arial"/>
          <w:b/>
          <w:bCs/>
        </w:rPr>
      </w:pPr>
      <w:r w:rsidRPr="00413148">
        <w:rPr>
          <w:rFonts w:cs="Arial"/>
        </w:rPr>
        <w:t xml:space="preserve">An action taken against an individual that </w:t>
      </w:r>
      <w:r w:rsidR="00E64EA0" w:rsidRPr="00413148">
        <w:rPr>
          <w:rFonts w:cs="Arial"/>
        </w:rPr>
        <w:t xml:space="preserve">is </w:t>
      </w:r>
      <w:r w:rsidR="0018756B" w:rsidRPr="00413148">
        <w:rPr>
          <w:rFonts w:cs="Arial"/>
        </w:rPr>
        <w:t xml:space="preserve">reasonably </w:t>
      </w:r>
      <w:r w:rsidRPr="00413148">
        <w:rPr>
          <w:rFonts w:cs="Arial"/>
        </w:rPr>
        <w:t xml:space="preserve">likely to deter them </w:t>
      </w:r>
      <w:r w:rsidR="00E65617" w:rsidRPr="00413148">
        <w:rPr>
          <w:rFonts w:cs="Arial"/>
        </w:rPr>
        <w:t xml:space="preserve">or others </w:t>
      </w:r>
      <w:r w:rsidRPr="00413148">
        <w:rPr>
          <w:rFonts w:cs="Arial"/>
        </w:rPr>
        <w:t xml:space="preserve">from engaging in </w:t>
      </w:r>
      <w:r w:rsidR="51A1EEDD" w:rsidRPr="00413148">
        <w:rPr>
          <w:rFonts w:cs="Arial"/>
        </w:rPr>
        <w:t xml:space="preserve">similar </w:t>
      </w:r>
      <w:r w:rsidR="18D79408" w:rsidRPr="00413148">
        <w:rPr>
          <w:rFonts w:cs="Arial"/>
        </w:rPr>
        <w:t xml:space="preserve">protected </w:t>
      </w:r>
      <w:r w:rsidRPr="00413148">
        <w:rPr>
          <w:rFonts w:cs="Arial"/>
        </w:rPr>
        <w:t xml:space="preserve">activities is considered unlawful retaliation. The </w:t>
      </w:r>
      <w:r w:rsidR="39718164" w:rsidRPr="00413148">
        <w:rPr>
          <w:rFonts w:cs="Arial"/>
        </w:rPr>
        <w:t xml:space="preserve">adverse </w:t>
      </w:r>
      <w:r w:rsidRPr="00413148">
        <w:rPr>
          <w:rFonts w:cs="Arial"/>
        </w:rPr>
        <w:t>action need not rise to the level of a final action or a materially adverse change to the terms and conditions of employment, housing, or participation in a program</w:t>
      </w:r>
      <w:r w:rsidR="00702C7C" w:rsidRPr="00413148">
        <w:rPr>
          <w:rFonts w:cs="Arial"/>
        </w:rPr>
        <w:t xml:space="preserve"> or use of a public accommodation</w:t>
      </w:r>
      <w:r w:rsidRPr="00413148">
        <w:rPr>
          <w:rFonts w:cs="Arial"/>
        </w:rPr>
        <w:t xml:space="preserve"> to be retaliatory under the NYCHRL.</w:t>
      </w:r>
      <w:r w:rsidR="001655AC" w:rsidRPr="00413148">
        <w:rPr>
          <w:rStyle w:val="FootnoteReference"/>
        </w:rPr>
        <w:footnoteReference w:id="205"/>
      </w:r>
      <w:r w:rsidRPr="00413148">
        <w:rPr>
          <w:rFonts w:cs="Arial"/>
        </w:rPr>
        <w:t xml:space="preserve"> The action could be as severe as termination, demotion, removal of job responsibilities, or eviction, but could also be relocating an employee to a less desirable part of the workspace, shifting an employee’s schedule, failing to grant an accommodation, or failing to make repairs in a resident’s unit.</w:t>
      </w:r>
    </w:p>
    <w:p w14:paraId="3E3E3BB5" w14:textId="77777777" w:rsidR="001655AC" w:rsidRPr="00413148" w:rsidRDefault="001655AC" w:rsidP="008A0C83">
      <w:pPr>
        <w:rPr>
          <w:rFonts w:cs="Arial"/>
          <w:b/>
          <w:bCs/>
        </w:rPr>
      </w:pPr>
    </w:p>
    <w:p w14:paraId="74856AB0" w14:textId="78AA613E" w:rsidR="001655AC" w:rsidRPr="00413148" w:rsidRDefault="001655AC" w:rsidP="008A0C83">
      <w:pPr>
        <w:rPr>
          <w:rFonts w:cs="Arial"/>
          <w:b/>
          <w:bCs/>
        </w:rPr>
      </w:pPr>
      <w:r w:rsidRPr="00413148">
        <w:rPr>
          <w:rFonts w:cs="Arial"/>
        </w:rPr>
        <w:t xml:space="preserve">An individual needing an accommodation for their disability must be able to seek assistance and engage in </w:t>
      </w:r>
      <w:r w:rsidR="00206FC7" w:rsidRPr="00413148">
        <w:rPr>
          <w:rFonts w:cs="Arial"/>
        </w:rPr>
        <w:t>a</w:t>
      </w:r>
      <w:r w:rsidRPr="00413148">
        <w:rPr>
          <w:rFonts w:cs="Arial"/>
        </w:rPr>
        <w:t xml:space="preserve"> cooperative dialogue with covered entities without fear of adverse consequences for making the request. It is unlawful retaliation under the NYCHRL for a covered </w:t>
      </w:r>
      <w:r w:rsidRPr="00413148">
        <w:rPr>
          <w:rFonts w:cs="Arial"/>
        </w:rPr>
        <w:lastRenderedPageBreak/>
        <w:t>entity to retaliate against an individual for requesting a reasonable accommodation on their own behalf or on behalf of someone else.</w:t>
      </w:r>
      <w:r w:rsidRPr="00413148">
        <w:rPr>
          <w:rStyle w:val="FootnoteReference"/>
          <w:rFonts w:cs="Arial"/>
        </w:rPr>
        <w:footnoteReference w:id="206"/>
      </w:r>
      <w:r w:rsidRPr="00413148">
        <w:rPr>
          <w:rFonts w:cs="Arial"/>
        </w:rPr>
        <w:t xml:space="preserve"> Additionally, claims for disability discrimination under the NYCHRL may be based on a failure to provide a reasonable accommodation.</w:t>
      </w:r>
      <w:r w:rsidRPr="00413148">
        <w:rPr>
          <w:rStyle w:val="FootnoteReference"/>
        </w:rPr>
        <w:footnoteReference w:id="207"/>
      </w:r>
      <w:r w:rsidRPr="00413148">
        <w:t xml:space="preserve"> Therefore, it would be retaliation for a covered entity to take an adverse action against an individual with a disability for making a complaint alleging a failure to provide a reasonable accommodation.</w:t>
      </w:r>
      <w:r w:rsidRPr="00413148">
        <w:rPr>
          <w:rStyle w:val="FootnoteReference"/>
        </w:rPr>
        <w:footnoteReference w:id="208"/>
      </w:r>
    </w:p>
    <w:p w14:paraId="3D5ADD45" w14:textId="6BBB7387" w:rsidR="00B64F81" w:rsidRDefault="00B64F81">
      <w:pPr>
        <w:spacing w:after="160" w:line="259" w:lineRule="auto"/>
        <w:rPr>
          <w:szCs w:val="32"/>
        </w:rPr>
      </w:pPr>
      <w:r>
        <w:rPr>
          <w:szCs w:val="32"/>
        </w:rPr>
        <w:br w:type="page"/>
      </w:r>
    </w:p>
    <w:p w14:paraId="61E7794E" w14:textId="77777777" w:rsidR="001655AC" w:rsidRPr="00413148" w:rsidRDefault="001655AC" w:rsidP="00D7527E">
      <w:pPr>
        <w:pStyle w:val="Heading3"/>
        <w:numPr>
          <w:ilvl w:val="0"/>
          <w:numId w:val="66"/>
        </w:numPr>
        <w:spacing w:before="0" w:after="0"/>
        <w:rPr>
          <w:rFonts w:cs="Arial"/>
          <w:b/>
          <w:bCs/>
          <w:color w:val="4B0082"/>
          <w:sz w:val="32"/>
          <w:szCs w:val="32"/>
        </w:rPr>
      </w:pPr>
      <w:bookmarkStart w:id="44" w:name="_Toc218083764"/>
      <w:r w:rsidRPr="00413148">
        <w:rPr>
          <w:rFonts w:cs="Arial"/>
          <w:b/>
          <w:bCs/>
          <w:color w:val="4B0082"/>
          <w:sz w:val="32"/>
          <w:szCs w:val="32"/>
        </w:rPr>
        <w:lastRenderedPageBreak/>
        <w:t>Examples of Retaliation</w:t>
      </w:r>
      <w:bookmarkEnd w:id="44"/>
      <w:r w:rsidRPr="00413148">
        <w:rPr>
          <w:rFonts w:cs="Arial"/>
          <w:b/>
          <w:bCs/>
          <w:color w:val="4B0082"/>
          <w:sz w:val="32"/>
          <w:szCs w:val="32"/>
        </w:rPr>
        <w:t xml:space="preserve"> </w:t>
      </w:r>
    </w:p>
    <w:p w14:paraId="08258BFE" w14:textId="77777777" w:rsidR="001655AC" w:rsidRPr="00413148" w:rsidRDefault="001655AC" w:rsidP="008A0C83"/>
    <w:p w14:paraId="23783CE8" w14:textId="77777777" w:rsidR="001655AC" w:rsidRPr="00413148" w:rsidRDefault="001655AC" w:rsidP="00113630">
      <w:pPr>
        <w:pStyle w:val="ListParagraph"/>
        <w:numPr>
          <w:ilvl w:val="0"/>
          <w:numId w:val="34"/>
        </w:numPr>
        <w:rPr>
          <w:rFonts w:cs="Arial"/>
          <w:b/>
          <w:bCs/>
          <w:color w:val="000000" w:themeColor="text1"/>
        </w:rPr>
      </w:pPr>
      <w:r w:rsidRPr="00413148">
        <w:rPr>
          <w:rFonts w:cs="Arial"/>
          <w:color w:val="000000" w:themeColor="text1"/>
        </w:rPr>
        <w:t>An employee is diagnosed with cancer and speaks to her employer about a reasonable accommodation that would allow her to attend regular appointments for treatment. Her employer fails to engage in a cooperative dialogue and ignores her request. The employee submits an internal complaint with Human Resources regarding her employer’s failure to accommodate. When the employer learns of the employee’s complaint, he demotes her.</w:t>
      </w:r>
    </w:p>
    <w:p w14:paraId="6C547226" w14:textId="77777777" w:rsidR="001655AC" w:rsidRPr="00413148" w:rsidRDefault="001655AC" w:rsidP="00113630">
      <w:pPr>
        <w:pStyle w:val="ListParagraph"/>
        <w:numPr>
          <w:ilvl w:val="0"/>
          <w:numId w:val="34"/>
        </w:numPr>
        <w:rPr>
          <w:rFonts w:cs="Arial"/>
          <w:color w:val="000000" w:themeColor="text1"/>
        </w:rPr>
      </w:pPr>
      <w:r w:rsidRPr="00413148">
        <w:rPr>
          <w:rFonts w:cs="Arial"/>
          <w:color w:val="000000" w:themeColor="text1"/>
        </w:rPr>
        <w:t>A tenant informs his landlord of his need to keep an emotional support animal in his apartment as a reasonable accommodation for his disability. While the landlord routinely approves such requests, she denies the request because the tenant had testified on behalf of another tenant’s case alleging discrimination.</w:t>
      </w:r>
    </w:p>
    <w:p w14:paraId="7EAC1988" w14:textId="77777777" w:rsidR="001655AC" w:rsidRPr="00413148" w:rsidRDefault="001655AC" w:rsidP="008A0C83">
      <w:pPr>
        <w:rPr>
          <w:szCs w:val="32"/>
        </w:rPr>
      </w:pPr>
    </w:p>
    <w:p w14:paraId="2B5C6ED1" w14:textId="77777777" w:rsidR="001655AC" w:rsidRPr="00413148" w:rsidRDefault="001655AC" w:rsidP="008A0C83">
      <w:r w:rsidRPr="00413148">
        <w:t>It is a best practice for covered entities to implement internal anti-discrimination policies to educate employees, residents, patrons, and program participants of their rights and obligations under the NYCHRL with respect to individuals with disabilities and regularly train staff on these issues. Covered entities should create procedures for employees, residents, patrons, and program participants to internally report violations of the law without fear of adverse action and train those in supervisory capacities on how to handle those claims when they witness discrimination or instances are reported to them by subordinates. Covered entities that engage with the public should implement a policy for interacting with the public in a respectful, non-discriminatory manner consistent with the NYCHRL, and ensur</w:t>
      </w:r>
      <w:r w:rsidR="00C906DC" w:rsidRPr="00413148">
        <w:t>e</w:t>
      </w:r>
      <w:r w:rsidRPr="00413148">
        <w:t xml:space="preserve"> that members of the public do not face discrimination. </w:t>
      </w:r>
    </w:p>
    <w:p w14:paraId="14141DDF" w14:textId="4294BCB2" w:rsidR="00B64F81" w:rsidRDefault="00B64F81">
      <w:pPr>
        <w:spacing w:after="160" w:line="259" w:lineRule="auto"/>
        <w:rPr>
          <w:szCs w:val="32"/>
        </w:rPr>
      </w:pPr>
      <w:r>
        <w:rPr>
          <w:szCs w:val="32"/>
        </w:rPr>
        <w:br w:type="page"/>
      </w:r>
    </w:p>
    <w:p w14:paraId="62CAB499" w14:textId="4583FFDA" w:rsidR="001655AC" w:rsidRPr="00413148" w:rsidRDefault="00F92EDB" w:rsidP="00113630">
      <w:pPr>
        <w:pStyle w:val="Heading2"/>
        <w:numPr>
          <w:ilvl w:val="0"/>
          <w:numId w:val="15"/>
        </w:numPr>
        <w:spacing w:before="0" w:after="0"/>
        <w:ind w:left="360"/>
        <w:rPr>
          <w:rFonts w:ascii="Arial" w:hAnsi="Arial" w:cs="Arial"/>
          <w:b/>
          <w:bCs/>
          <w:color w:val="4B0082"/>
          <w:sz w:val="36"/>
          <w:szCs w:val="36"/>
        </w:rPr>
      </w:pPr>
      <w:r>
        <w:rPr>
          <w:rFonts w:ascii="Arial" w:hAnsi="Arial" w:cs="Arial"/>
          <w:b/>
          <w:bCs/>
          <w:color w:val="4B0082"/>
          <w:sz w:val="36"/>
          <w:szCs w:val="36"/>
        </w:rPr>
        <w:lastRenderedPageBreak/>
        <w:t xml:space="preserve"> </w:t>
      </w:r>
      <w:bookmarkStart w:id="45" w:name="_Toc218083765"/>
      <w:r w:rsidR="001655AC" w:rsidRPr="00413148">
        <w:rPr>
          <w:rFonts w:ascii="Arial" w:hAnsi="Arial" w:cs="Arial"/>
          <w:b/>
          <w:bCs/>
          <w:color w:val="4B0082"/>
          <w:sz w:val="36"/>
          <w:szCs w:val="36"/>
        </w:rPr>
        <w:t>Associational Discrimination</w:t>
      </w:r>
      <w:bookmarkEnd w:id="45"/>
    </w:p>
    <w:p w14:paraId="3C075531" w14:textId="77777777" w:rsidR="00025D07" w:rsidRPr="00413148" w:rsidRDefault="00025D07" w:rsidP="00F77ED7"/>
    <w:p w14:paraId="157F4174" w14:textId="16E7EEEC" w:rsidR="001655AC" w:rsidRPr="00413148" w:rsidRDefault="001655AC" w:rsidP="00113630">
      <w:pPr>
        <w:pStyle w:val="Heading3"/>
        <w:numPr>
          <w:ilvl w:val="0"/>
          <w:numId w:val="16"/>
        </w:numPr>
        <w:spacing w:before="0" w:after="0"/>
        <w:ind w:left="907" w:hanging="360"/>
        <w:rPr>
          <w:rFonts w:cs="Arial"/>
          <w:b/>
          <w:bCs/>
          <w:color w:val="4B0082"/>
          <w:sz w:val="32"/>
          <w:szCs w:val="32"/>
        </w:rPr>
      </w:pPr>
      <w:bookmarkStart w:id="46" w:name="_Toc218083766"/>
      <w:r w:rsidRPr="00413148">
        <w:rPr>
          <w:rFonts w:cs="Arial"/>
          <w:b/>
          <w:bCs/>
          <w:color w:val="4B0082"/>
          <w:sz w:val="32"/>
          <w:szCs w:val="32"/>
        </w:rPr>
        <w:t>Associational Disparate Treatment Claims</w:t>
      </w:r>
      <w:bookmarkEnd w:id="46"/>
    </w:p>
    <w:p w14:paraId="4DFEB9E2" w14:textId="77777777" w:rsidR="001655AC" w:rsidRPr="00413148" w:rsidRDefault="001655AC" w:rsidP="009C0FCF"/>
    <w:p w14:paraId="402DFC87" w14:textId="293DB45E" w:rsidR="001655AC" w:rsidRPr="00413148" w:rsidRDefault="7C6C1570" w:rsidP="009C0FCF">
      <w:r w:rsidRPr="00413148">
        <w:t>The NYCHRL’s anti-discrimination protections extend to prohibit</w:t>
      </w:r>
      <w:r w:rsidR="00D61EC8" w:rsidRPr="00413148">
        <w:t>ing</w:t>
      </w:r>
      <w:r w:rsidRPr="00413148">
        <w:t xml:space="preserve"> unlawful discriminatory practices based on a person’s relationship to or association with a person with an actual or perceived disability.</w:t>
      </w:r>
      <w:r w:rsidR="001655AC" w:rsidRPr="00413148">
        <w:rPr>
          <w:rStyle w:val="FootnoteReference"/>
        </w:rPr>
        <w:footnoteReference w:id="209"/>
      </w:r>
      <w:r w:rsidRPr="00413148">
        <w:t xml:space="preserve"> The </w:t>
      </w:r>
      <w:r w:rsidR="4360F5B3" w:rsidRPr="00413148">
        <w:t>L</w:t>
      </w:r>
      <w:r w:rsidRPr="00413148">
        <w:t xml:space="preserve">aw does not require a familial relationship for an individual to be protected by the association provision; the relevant inquiry is whether the covered entity was motivated by the individual’s relationship or association with a person who has a disability. </w:t>
      </w:r>
    </w:p>
    <w:p w14:paraId="3F3D9053" w14:textId="77777777" w:rsidR="001655AC" w:rsidRPr="00413148" w:rsidRDefault="001655AC" w:rsidP="009C0FCF"/>
    <w:p w14:paraId="37D68C5B" w14:textId="13BC7E11" w:rsidR="001655AC" w:rsidRPr="00413148" w:rsidRDefault="7C6C1570" w:rsidP="008A0C83">
      <w:r w:rsidRPr="00413148">
        <w:t>To establish a disparate treatment claim of associational discrimination based on disability under the NYCHRL, a</w:t>
      </w:r>
      <w:r w:rsidR="003400D8" w:rsidRPr="00413148">
        <w:t>n individual</w:t>
      </w:r>
      <w:r w:rsidRPr="00413148" w:rsidDel="003400D8">
        <w:t xml:space="preserve"> </w:t>
      </w:r>
      <w:r w:rsidRPr="00413148">
        <w:t xml:space="preserve">must show that: (1) the covered entity knew of the individual’s relationship or association with a person with an actual or perceived disability; (2) the individual suffered an independent injury, separate from any injury the person with </w:t>
      </w:r>
      <w:r w:rsidR="0033459A" w:rsidRPr="00413148">
        <w:t>a</w:t>
      </w:r>
      <w:r w:rsidRPr="00413148">
        <w:t xml:space="preserve"> disability may have suffered;</w:t>
      </w:r>
      <w:r w:rsidR="001655AC" w:rsidRPr="00413148">
        <w:rPr>
          <w:rStyle w:val="FootnoteReference"/>
        </w:rPr>
        <w:footnoteReference w:id="210"/>
      </w:r>
      <w:r w:rsidRPr="00413148">
        <w:t xml:space="preserve"> and (3) the covered entity treated the individual less well and</w:t>
      </w:r>
      <w:r w:rsidR="65AEC146" w:rsidRPr="00413148">
        <w:t xml:space="preserve"> </w:t>
      </w:r>
      <w:r w:rsidRPr="00413148">
        <w:t>was at least in part motivated by discriminatory animus.</w:t>
      </w:r>
      <w:r w:rsidR="001655AC" w:rsidRPr="00413148">
        <w:rPr>
          <w:rStyle w:val="FootnoteReference"/>
        </w:rPr>
        <w:footnoteReference w:id="211"/>
      </w:r>
      <w:r w:rsidRPr="00413148">
        <w:t xml:space="preserve"> A</w:t>
      </w:r>
      <w:r w:rsidR="003400D8" w:rsidRPr="00413148">
        <w:t>n</w:t>
      </w:r>
      <w:r w:rsidRPr="00413148">
        <w:t xml:space="preserve"> </w:t>
      </w:r>
      <w:r w:rsidR="003400D8" w:rsidRPr="00413148">
        <w:t>individual</w:t>
      </w:r>
      <w:r w:rsidRPr="00413148">
        <w:t xml:space="preserve"> may show this through direct evidence of discrimination. Alternatively, if a</w:t>
      </w:r>
      <w:r w:rsidR="003400D8" w:rsidRPr="00413148">
        <w:t>n individual</w:t>
      </w:r>
      <w:r w:rsidRPr="00413148">
        <w:t xml:space="preserve"> complainant provides evidence that would support an inference of discrimination, the burden shifts to the respondent to </w:t>
      </w:r>
      <w:r w:rsidRPr="00413148">
        <w:lastRenderedPageBreak/>
        <w:t xml:space="preserve">advance a legitimate, non-discriminatory reason for its actions. If </w:t>
      </w:r>
      <w:r w:rsidR="4DE85C4E" w:rsidRPr="00413148">
        <w:t>a respondent is</w:t>
      </w:r>
      <w:r w:rsidRPr="00413148">
        <w:t xml:space="preserve"> able to do so, the burden shifts back to the</w:t>
      </w:r>
      <w:r w:rsidR="003400D8" w:rsidRPr="00413148">
        <w:t xml:space="preserve"> individual</w:t>
      </w:r>
      <w:r w:rsidRPr="00413148" w:rsidDel="003400D8">
        <w:t xml:space="preserve"> </w:t>
      </w:r>
      <w:r w:rsidRPr="00413148">
        <w:t xml:space="preserve">to demonstrate that discriminatory animus was at least a factor in the </w:t>
      </w:r>
      <w:r w:rsidR="569EBFC1" w:rsidRPr="00413148">
        <w:t>underlying</w:t>
      </w:r>
      <w:r w:rsidRPr="00413148">
        <w:t xml:space="preserve"> </w:t>
      </w:r>
      <w:r w:rsidR="418A7FD4" w:rsidRPr="00413148">
        <w:t>treatment</w:t>
      </w:r>
      <w:r w:rsidRPr="00413148">
        <w:t>.</w:t>
      </w:r>
      <w:r w:rsidR="001655AC" w:rsidRPr="00413148">
        <w:rPr>
          <w:rStyle w:val="FootnoteReference"/>
        </w:rPr>
        <w:footnoteReference w:id="212"/>
      </w:r>
    </w:p>
    <w:p w14:paraId="3CD34E7C" w14:textId="77777777" w:rsidR="001655AC" w:rsidRPr="00413148" w:rsidRDefault="001655AC" w:rsidP="008A0C83"/>
    <w:p w14:paraId="1176B335" w14:textId="77777777" w:rsidR="001655AC" w:rsidRPr="00413148" w:rsidRDefault="001655AC" w:rsidP="008A0C83">
      <w:r w:rsidRPr="00413148">
        <w:t>The prohibition against associational disability discrimination prevents covered entities from taking adverse actions against individuals who associate with people who have disabilities based on unfounded stereotypes and assumptions. This means that a covered entity may not take adverse action based on unfounded concerns about the known disability of a family member or anyone else with whom the applicant, employee, or customer has a relationship or association.</w:t>
      </w:r>
    </w:p>
    <w:p w14:paraId="11C5A8A9" w14:textId="77777777" w:rsidR="001655AC" w:rsidRPr="00413148" w:rsidRDefault="001655AC" w:rsidP="008A0C83"/>
    <w:p w14:paraId="66E41BE8" w14:textId="77777777" w:rsidR="001655AC" w:rsidRPr="00413148" w:rsidRDefault="001655AC" w:rsidP="00113630">
      <w:pPr>
        <w:pStyle w:val="Heading3"/>
        <w:numPr>
          <w:ilvl w:val="0"/>
          <w:numId w:val="16"/>
        </w:numPr>
        <w:spacing w:before="0" w:after="0"/>
        <w:ind w:left="900" w:hanging="360"/>
        <w:rPr>
          <w:rFonts w:cs="Arial"/>
          <w:b/>
          <w:bCs/>
          <w:color w:val="4B0082"/>
          <w:sz w:val="32"/>
          <w:szCs w:val="32"/>
        </w:rPr>
      </w:pPr>
      <w:bookmarkStart w:id="48" w:name="_Toc218083767"/>
      <w:r w:rsidRPr="00413148">
        <w:rPr>
          <w:rFonts w:cs="Arial"/>
          <w:b/>
          <w:bCs/>
          <w:color w:val="4B0082"/>
          <w:sz w:val="32"/>
          <w:szCs w:val="32"/>
        </w:rPr>
        <w:t>Associational Reasonable Accommodations Claims</w:t>
      </w:r>
      <w:bookmarkEnd w:id="48"/>
    </w:p>
    <w:p w14:paraId="580F7C2E" w14:textId="77777777" w:rsidR="001655AC" w:rsidRPr="00413148" w:rsidRDefault="001655AC" w:rsidP="00DD5216">
      <w:pPr>
        <w:rPr>
          <w:szCs w:val="32"/>
        </w:rPr>
      </w:pPr>
    </w:p>
    <w:p w14:paraId="651BD5F0" w14:textId="77777777" w:rsidR="001655AC" w:rsidRPr="00413148" w:rsidRDefault="65CE8B8E" w:rsidP="00DD5216">
      <w:r w:rsidRPr="00413148">
        <w:t xml:space="preserve">A covered entity’s failure to provide reasonable accommodations to an individual with a disability can cause </w:t>
      </w:r>
      <w:r w:rsidR="0B7E6795" w:rsidRPr="00413148">
        <w:t>harm</w:t>
      </w:r>
      <w:r w:rsidRPr="00413148">
        <w:t xml:space="preserve"> to people beyond the individual. For example, caretakers, parents, children, or other persons related to or associated with an individual with a disability and who also have a relationship to the covered entity—</w:t>
      </w:r>
      <w:r w:rsidRPr="00413148">
        <w:rPr>
          <w:i/>
          <w:iCs/>
        </w:rPr>
        <w:t>e.g.</w:t>
      </w:r>
      <w:r w:rsidRPr="00413148">
        <w:t xml:space="preserve"> as the co-tenant of the individual with a disability—may suffer independent </w:t>
      </w:r>
      <w:r w:rsidR="103C6E6D" w:rsidRPr="00413148">
        <w:t>harm</w:t>
      </w:r>
      <w:r w:rsidRPr="00413148">
        <w:t xml:space="preserve"> as a direct result of the covered entity’s failure to provide a reasonable accommodation. Such </w:t>
      </w:r>
      <w:r w:rsidR="65F20554" w:rsidRPr="00413148">
        <w:t xml:space="preserve">harms </w:t>
      </w:r>
      <w:r w:rsidRPr="00413148">
        <w:t xml:space="preserve">may include, but are not limited to, emotional distress and other damages associated with having to live without the accommodation. Therefore, if an individual </w:t>
      </w:r>
      <w:r w:rsidRPr="00413148">
        <w:lastRenderedPageBreak/>
        <w:t>with a disability is unlawfully denied a reasonable accommodation, their relative or associate may also have an associational claim for failure to accommodate under the NYCHRL.</w:t>
      </w:r>
      <w:r w:rsidR="001655AC" w:rsidRPr="00413148">
        <w:rPr>
          <w:rStyle w:val="FootnoteReference"/>
        </w:rPr>
        <w:footnoteReference w:id="213"/>
      </w:r>
    </w:p>
    <w:p w14:paraId="77EB413C" w14:textId="77777777" w:rsidR="7080590F" w:rsidRPr="00413148" w:rsidRDefault="7080590F" w:rsidP="00DD5216"/>
    <w:p w14:paraId="17328DF7" w14:textId="77777777" w:rsidR="001655AC" w:rsidRPr="00413148" w:rsidRDefault="001655AC" w:rsidP="00DD5216">
      <w:r w:rsidRPr="00413148">
        <w:t>To establish a claim of associational discrimination for failure to accommodate under the NYCHRL, a</w:t>
      </w:r>
      <w:r w:rsidR="003400D8" w:rsidRPr="00413148">
        <w:t>n individual</w:t>
      </w:r>
      <w:r w:rsidRPr="00413148" w:rsidDel="003400D8">
        <w:t xml:space="preserve"> </w:t>
      </w:r>
      <w:r w:rsidRPr="00413148">
        <w:t xml:space="preserve">must show that: (1) the covered entity knew of the </w:t>
      </w:r>
      <w:r w:rsidR="003400D8" w:rsidRPr="00413148">
        <w:t>individual</w:t>
      </w:r>
      <w:r w:rsidRPr="00413148">
        <w:t xml:space="preserve">’s relationship or association with a person with an actual or perceived disability; (2) the </w:t>
      </w:r>
      <w:r w:rsidR="003400D8" w:rsidRPr="00413148">
        <w:t>individual</w:t>
      </w:r>
      <w:r w:rsidRPr="00413148">
        <w:t xml:space="preserve"> suffered a direct, independent injury as a result of the respondent’s failure to provide a reasonable accommodation;</w:t>
      </w:r>
      <w:r w:rsidRPr="00413148">
        <w:rPr>
          <w:rStyle w:val="FootnoteReference"/>
        </w:rPr>
        <w:footnoteReference w:id="214"/>
      </w:r>
      <w:r w:rsidRPr="00413148">
        <w:t xml:space="preserve"> (3) a reasonable accommodation would enable the </w:t>
      </w:r>
      <w:r w:rsidR="003400D8" w:rsidRPr="00413148">
        <w:t>individual</w:t>
      </w:r>
      <w:r w:rsidRPr="00413148">
        <w:t xml:space="preserve"> to use or enjoy a housing accommodation or public accommodation or to perform the essential </w:t>
      </w:r>
      <w:r w:rsidRPr="00413148">
        <w:lastRenderedPageBreak/>
        <w:t>functions of their job; and (4) the covered entity has failed to provide an accommodation.</w:t>
      </w:r>
      <w:r w:rsidRPr="00413148">
        <w:rPr>
          <w:rStyle w:val="FootnoteReference"/>
        </w:rPr>
        <w:footnoteReference w:id="215"/>
      </w:r>
    </w:p>
    <w:p w14:paraId="097CF741" w14:textId="77777777" w:rsidR="00B74486" w:rsidRPr="00413148" w:rsidRDefault="00B74486" w:rsidP="00DD5216"/>
    <w:p w14:paraId="1A2626C6" w14:textId="77777777" w:rsidR="001655AC" w:rsidRPr="00413148" w:rsidRDefault="7C6C1570" w:rsidP="00113630">
      <w:pPr>
        <w:pStyle w:val="Heading4"/>
        <w:numPr>
          <w:ilvl w:val="0"/>
          <w:numId w:val="17"/>
        </w:numPr>
        <w:spacing w:before="0" w:after="0"/>
        <w:ind w:left="1440" w:hanging="540"/>
        <w:rPr>
          <w:rFonts w:cs="Arial"/>
          <w:b/>
          <w:bCs/>
          <w:color w:val="4B0082"/>
        </w:rPr>
      </w:pPr>
      <w:r w:rsidRPr="00413148">
        <w:rPr>
          <w:rFonts w:cs="Arial"/>
          <w:b/>
          <w:bCs/>
          <w:color w:val="4B0082"/>
        </w:rPr>
        <w:t xml:space="preserve">Examples </w:t>
      </w:r>
      <w:r w:rsidR="33A32B11" w:rsidRPr="00413148">
        <w:rPr>
          <w:rFonts w:cs="Arial"/>
          <w:b/>
          <w:bCs/>
          <w:color w:val="4B0082"/>
        </w:rPr>
        <w:t xml:space="preserve">of </w:t>
      </w:r>
      <w:r w:rsidRPr="00413148">
        <w:rPr>
          <w:rFonts w:cs="Arial"/>
          <w:b/>
          <w:bCs/>
          <w:color w:val="4B0082"/>
        </w:rPr>
        <w:t>Associational Reasonable Accommodation Claims</w:t>
      </w:r>
    </w:p>
    <w:p w14:paraId="44AA2936" w14:textId="77777777" w:rsidR="001655AC" w:rsidRPr="00413148" w:rsidRDefault="001655AC" w:rsidP="00DD5216">
      <w:pPr>
        <w:rPr>
          <w:color w:val="4B0082"/>
        </w:rPr>
      </w:pPr>
    </w:p>
    <w:p w14:paraId="4EFBC7B2" w14:textId="77777777" w:rsidR="001655AC" w:rsidRPr="00413148" w:rsidRDefault="001655AC" w:rsidP="00113630">
      <w:pPr>
        <w:pStyle w:val="ListParagraph"/>
        <w:numPr>
          <w:ilvl w:val="0"/>
          <w:numId w:val="35"/>
        </w:numPr>
        <w:ind w:left="1440"/>
      </w:pPr>
      <w:r w:rsidRPr="00413148">
        <w:t>A tenant who lives with her daughter requested that the landlord replace her bathtub as a reasonable accommodation for her daughter’s disability. The landlord’s failure to provide a reasonable accommodation caused the tenant to strain her back while helping her daughter in and out of the bathtub and created tensions in her relationship with her daughter, due to difficulties involved in bathing her safely.</w:t>
      </w:r>
      <w:r w:rsidRPr="00413148">
        <w:rPr>
          <w:rStyle w:val="FootnoteReference"/>
        </w:rPr>
        <w:footnoteReference w:id="216"/>
      </w:r>
    </w:p>
    <w:p w14:paraId="34FFD347" w14:textId="77777777" w:rsidR="001655AC" w:rsidRPr="00413148" w:rsidRDefault="00596827" w:rsidP="00113630">
      <w:pPr>
        <w:pStyle w:val="ListParagraph"/>
        <w:numPr>
          <w:ilvl w:val="0"/>
          <w:numId w:val="35"/>
        </w:numPr>
        <w:ind w:left="1440"/>
        <w:rPr>
          <w:rFonts w:eastAsia="Calibri"/>
        </w:rPr>
      </w:pPr>
      <w:r w:rsidRPr="00413148">
        <w:rPr>
          <w:rFonts w:eastAsia="Calibri"/>
        </w:rPr>
        <w:t xml:space="preserve">A covered employer refuses to promote an employee because they are aware that the employer’s spouse has a disability, and the employer is afraid the employee will not be able to give sufficient attention to the expanded role. </w:t>
      </w:r>
    </w:p>
    <w:p w14:paraId="5691BB86" w14:textId="77777777" w:rsidR="001655AC" w:rsidRPr="00413148" w:rsidRDefault="001655AC" w:rsidP="00113630">
      <w:pPr>
        <w:pStyle w:val="ListParagraph"/>
        <w:numPr>
          <w:ilvl w:val="0"/>
          <w:numId w:val="35"/>
        </w:numPr>
        <w:ind w:left="1440"/>
        <w:rPr>
          <w:rFonts w:eastAsia="Calibri"/>
        </w:rPr>
      </w:pPr>
      <w:r w:rsidRPr="00413148">
        <w:rPr>
          <w:rFonts w:eastAsia="Calibri"/>
        </w:rPr>
        <w:t>A daycare refuses to take the children of a family with deaf parents because of concerns about how it will communicate with the</w:t>
      </w:r>
      <w:r w:rsidR="00596827" w:rsidRPr="00413148">
        <w:rPr>
          <w:rFonts w:eastAsia="Calibri"/>
        </w:rPr>
        <w:t xml:space="preserve"> parents</w:t>
      </w:r>
      <w:r w:rsidRPr="00413148">
        <w:rPr>
          <w:rFonts w:eastAsia="Calibri"/>
        </w:rPr>
        <w:t xml:space="preserve"> regarding the needs of the children.</w:t>
      </w:r>
    </w:p>
    <w:p w14:paraId="2FD3EEC1" w14:textId="77777777" w:rsidR="00596827" w:rsidRPr="00413148" w:rsidRDefault="00596827" w:rsidP="009C0FCF"/>
    <w:p w14:paraId="707B2B3E" w14:textId="77C0585B" w:rsidR="00596827" w:rsidRPr="00413148" w:rsidRDefault="00F77ED7" w:rsidP="00113630">
      <w:pPr>
        <w:pStyle w:val="Heading2"/>
        <w:numPr>
          <w:ilvl w:val="0"/>
          <w:numId w:val="15"/>
        </w:numPr>
        <w:spacing w:before="0" w:after="0"/>
        <w:ind w:left="360"/>
        <w:rPr>
          <w:rFonts w:ascii="Arial" w:hAnsi="Arial" w:cs="Arial"/>
          <w:b/>
          <w:bCs/>
          <w:color w:val="4B0082"/>
          <w:sz w:val="36"/>
          <w:szCs w:val="36"/>
        </w:rPr>
      </w:pPr>
      <w:r w:rsidRPr="00413148">
        <w:rPr>
          <w:rFonts w:ascii="Arial" w:hAnsi="Arial" w:cs="Arial"/>
          <w:b/>
          <w:bCs/>
          <w:color w:val="4B0082"/>
          <w:sz w:val="36"/>
          <w:szCs w:val="36"/>
        </w:rPr>
        <w:t xml:space="preserve"> </w:t>
      </w:r>
      <w:bookmarkStart w:id="49" w:name="_Toc218083768"/>
      <w:r w:rsidR="00596827" w:rsidRPr="00413148">
        <w:rPr>
          <w:rFonts w:ascii="Arial" w:hAnsi="Arial" w:cs="Arial"/>
          <w:b/>
          <w:bCs/>
          <w:color w:val="4B0082"/>
          <w:sz w:val="36"/>
          <w:szCs w:val="36"/>
        </w:rPr>
        <w:t>Discriminatory Harassment</w:t>
      </w:r>
      <w:bookmarkEnd w:id="49"/>
    </w:p>
    <w:p w14:paraId="4036CE27" w14:textId="77777777" w:rsidR="00596827" w:rsidRPr="00413148" w:rsidRDefault="00596827" w:rsidP="0074207A">
      <w:pPr>
        <w:rPr>
          <w:color w:val="4B0082"/>
        </w:rPr>
      </w:pPr>
    </w:p>
    <w:p w14:paraId="118F85EA" w14:textId="77A6F84F" w:rsidR="00596827" w:rsidRPr="00413148" w:rsidRDefault="049A723B" w:rsidP="00DD5216">
      <w:r w:rsidRPr="00413148">
        <w:t>The NYCHRL prohibits discriminatory harassment</w:t>
      </w:r>
      <w:r w:rsidR="4CE5187E" w:rsidRPr="00413148">
        <w:t xml:space="preserve"> </w:t>
      </w:r>
      <w:r w:rsidRPr="00413148">
        <w:t>motivated by a person’s actual or perceived disability.</w:t>
      </w:r>
      <w:r w:rsidR="00596827" w:rsidRPr="00413148">
        <w:rPr>
          <w:rStyle w:val="FootnoteReference"/>
        </w:rPr>
        <w:footnoteReference w:id="217"/>
      </w:r>
      <w:r w:rsidRPr="00413148">
        <w:t xml:space="preserve"> Discriminatory harassment occurs when someone uses or threatens to use force against a victim </w:t>
      </w:r>
      <w:r w:rsidRPr="00413148">
        <w:lastRenderedPageBreak/>
        <w:t>because of the victim’s actual or perceived disability</w:t>
      </w:r>
      <w:r w:rsidR="34F89835" w:rsidRPr="00413148">
        <w:t xml:space="preserve"> and</w:t>
      </w:r>
      <w:r w:rsidR="34F89835" w:rsidRPr="00413148">
        <w:rPr>
          <w:rFonts w:eastAsia="Calibri"/>
        </w:rPr>
        <w:t xml:space="preserve"> interferes with </w:t>
      </w:r>
      <w:r w:rsidR="34F89835" w:rsidRPr="00413148">
        <w:t>their</w:t>
      </w:r>
      <w:r w:rsidR="34F89835" w:rsidRPr="00413148">
        <w:rPr>
          <w:rFonts w:eastAsia="Calibri"/>
        </w:rPr>
        <w:t xml:space="preserve"> “exercise or enjoyment” of constitutional rights</w:t>
      </w:r>
      <w:r w:rsidRPr="00413148">
        <w:t xml:space="preserve">. Discriminatory harassment also occurs when someone damages or destroys another person’s property because of their disability. </w:t>
      </w:r>
      <w:r w:rsidR="4FF80978" w:rsidRPr="00413148">
        <w:t xml:space="preserve"> </w:t>
      </w:r>
      <w:r w:rsidR="591B3046" w:rsidRPr="00413148">
        <w:t xml:space="preserve">Individuals can be found to violate the discriminatory harassment provisions of the </w:t>
      </w:r>
      <w:r w:rsidR="009376AC" w:rsidRPr="00413148">
        <w:t xml:space="preserve">City </w:t>
      </w:r>
      <w:r w:rsidR="7EF75696" w:rsidRPr="00413148">
        <w:t>H</w:t>
      </w:r>
      <w:r w:rsidR="591B3046" w:rsidRPr="00413148">
        <w:t xml:space="preserve">uman </w:t>
      </w:r>
      <w:r w:rsidR="291DE26C" w:rsidRPr="00413148">
        <w:t>R</w:t>
      </w:r>
      <w:r w:rsidR="591B3046" w:rsidRPr="00413148">
        <w:t xml:space="preserve">ights </w:t>
      </w:r>
      <w:r w:rsidR="1BB45E0E" w:rsidRPr="00413148">
        <w:t>L</w:t>
      </w:r>
      <w:r w:rsidR="591B3046" w:rsidRPr="00413148">
        <w:t>aw even if they are not covered employers, housing providers</w:t>
      </w:r>
      <w:r w:rsidR="009376AC" w:rsidRPr="00413148">
        <w:t>,</w:t>
      </w:r>
      <w:r w:rsidR="591B3046" w:rsidRPr="00413148">
        <w:t xml:space="preserve"> or places of public accommodation.  </w:t>
      </w:r>
    </w:p>
    <w:p w14:paraId="4A110A05" w14:textId="77777777" w:rsidR="00596827" w:rsidRPr="00413148" w:rsidRDefault="00596827" w:rsidP="00DD5216"/>
    <w:p w14:paraId="0ABA3B82" w14:textId="77777777" w:rsidR="00596827" w:rsidRPr="00413148" w:rsidRDefault="049A723B" w:rsidP="00113630">
      <w:pPr>
        <w:pStyle w:val="Heading3"/>
        <w:numPr>
          <w:ilvl w:val="0"/>
          <w:numId w:val="18"/>
        </w:numPr>
        <w:spacing w:before="0" w:after="0"/>
        <w:ind w:left="900"/>
        <w:rPr>
          <w:rFonts w:cs="Arial"/>
          <w:b/>
          <w:bCs/>
          <w:color w:val="4B0082"/>
          <w:sz w:val="32"/>
          <w:szCs w:val="32"/>
        </w:rPr>
      </w:pPr>
      <w:bookmarkStart w:id="50" w:name="_Toc218083769"/>
      <w:r w:rsidRPr="00413148">
        <w:rPr>
          <w:rFonts w:cs="Arial"/>
          <w:b/>
          <w:bCs/>
          <w:color w:val="4B0082"/>
          <w:sz w:val="32"/>
          <w:szCs w:val="32"/>
        </w:rPr>
        <w:t xml:space="preserve">Examples </w:t>
      </w:r>
      <w:r w:rsidR="667F3178" w:rsidRPr="00413148">
        <w:rPr>
          <w:rFonts w:cs="Arial"/>
          <w:b/>
          <w:bCs/>
          <w:color w:val="4B0082"/>
          <w:sz w:val="32"/>
          <w:szCs w:val="32"/>
        </w:rPr>
        <w:t>of Discriminatory Harassment</w:t>
      </w:r>
      <w:bookmarkEnd w:id="50"/>
    </w:p>
    <w:p w14:paraId="2589ADF7" w14:textId="77777777" w:rsidR="00596827" w:rsidRPr="00413148" w:rsidRDefault="00596827" w:rsidP="00DD5216"/>
    <w:p w14:paraId="6FDEB2BF" w14:textId="77777777" w:rsidR="00596827" w:rsidRPr="00413148" w:rsidRDefault="00596827" w:rsidP="00113630">
      <w:pPr>
        <w:pStyle w:val="ListParagraph"/>
        <w:numPr>
          <w:ilvl w:val="0"/>
          <w:numId w:val="36"/>
        </w:numPr>
        <w:ind w:left="1080"/>
      </w:pPr>
      <w:r w:rsidRPr="00413148">
        <w:t>An individual who uses a cane due to a mobility disability is walking home from work. Two men who are approaching him on the sidewalk point at him and laugh, yelling insults such as “deformed” and “gimp.” When the individual ignores them and continues on his way, one of the men kicks his cane out of his hand, while the other pushes him to the ground.</w:t>
      </w:r>
    </w:p>
    <w:p w14:paraId="4C1DEC1E" w14:textId="0E96BC17" w:rsidR="001655AC" w:rsidRPr="00413148" w:rsidRDefault="00596827" w:rsidP="00113630">
      <w:pPr>
        <w:pStyle w:val="ListParagraph"/>
        <w:numPr>
          <w:ilvl w:val="0"/>
          <w:numId w:val="36"/>
        </w:numPr>
        <w:ind w:left="1080"/>
      </w:pPr>
      <w:r w:rsidRPr="00413148">
        <w:t xml:space="preserve">An individual who uses a wheelchair is seated in an accessible area </w:t>
      </w:r>
      <w:r w:rsidR="22A609C9" w:rsidRPr="00413148">
        <w:t xml:space="preserve">of a </w:t>
      </w:r>
      <w:r w:rsidR="411B62AA" w:rsidRPr="00413148">
        <w:t>courtyard</w:t>
      </w:r>
      <w:r w:rsidRPr="00413148">
        <w:t>. Another patron is seated ne</w:t>
      </w:r>
      <w:r w:rsidR="00DF18A7" w:rsidRPr="00413148">
        <w:t>ar</w:t>
      </w:r>
      <w:r w:rsidRPr="00413148">
        <w:t xml:space="preserve"> her. When he sees her, he gets up</w:t>
      </w:r>
      <w:r w:rsidR="00713FBF" w:rsidRPr="00413148">
        <w:t>,</w:t>
      </w:r>
      <w:r w:rsidRPr="00413148">
        <w:t xml:space="preserve"> stands over her, and says, “Can you find somewhere else to park yourself? You’re </w:t>
      </w:r>
      <w:r w:rsidR="43FBE424" w:rsidRPr="00413148">
        <w:t>in my way</w:t>
      </w:r>
      <w:r w:rsidRPr="00413148">
        <w:t>. Move your stupid chair out of the way or I’ll push you out of here myself,” and hits the wheel of her wheelchair.</w:t>
      </w:r>
    </w:p>
    <w:p w14:paraId="32F809B9" w14:textId="77777777" w:rsidR="1F21C72E" w:rsidRPr="00413148" w:rsidRDefault="1F21C72E" w:rsidP="00DD5216">
      <w:pPr>
        <w:rPr>
          <w:szCs w:val="32"/>
        </w:rPr>
      </w:pPr>
    </w:p>
    <w:p w14:paraId="7099DB57" w14:textId="77777777" w:rsidR="48CC61C3" w:rsidRPr="00413148" w:rsidRDefault="48CC61C3" w:rsidP="00DD5216">
      <w:pPr>
        <w:rPr>
          <w:szCs w:val="32"/>
          <w:highlight w:val="cyan"/>
        </w:rPr>
      </w:pPr>
      <w:r w:rsidRPr="00413148">
        <w:rPr>
          <w:szCs w:val="32"/>
        </w:rPr>
        <w:t xml:space="preserve">In these examples, the individual who threatened or perpetrated harm </w:t>
      </w:r>
      <w:r w:rsidR="56CCCEAB" w:rsidRPr="00413148">
        <w:rPr>
          <w:szCs w:val="32"/>
        </w:rPr>
        <w:t>can be found liable for violating the</w:t>
      </w:r>
      <w:r w:rsidRPr="00413148">
        <w:rPr>
          <w:szCs w:val="32"/>
        </w:rPr>
        <w:t xml:space="preserve"> NYCHRL.</w:t>
      </w:r>
      <w:r w:rsidRPr="00413148">
        <w:rPr>
          <w:szCs w:val="32"/>
          <w:highlight w:val="cyan"/>
        </w:rPr>
        <w:t xml:space="preserve">  </w:t>
      </w:r>
    </w:p>
    <w:p w14:paraId="59809057" w14:textId="77777777" w:rsidR="00617EE5" w:rsidRPr="00413148" w:rsidRDefault="00617EE5" w:rsidP="00DD5216">
      <w:pPr>
        <w:pStyle w:val="ListParagraph"/>
        <w:ind w:left="0"/>
        <w:rPr>
          <w:highlight w:val="cyan"/>
        </w:rPr>
      </w:pPr>
    </w:p>
    <w:p w14:paraId="342E3DA3" w14:textId="77777777" w:rsidR="000C44A4" w:rsidRPr="00413148" w:rsidRDefault="00536C3F" w:rsidP="00362FDF">
      <w:pPr>
        <w:pStyle w:val="Heading1"/>
        <w:spacing w:before="0" w:after="0"/>
        <w:rPr>
          <w:rFonts w:ascii="Arial" w:hAnsi="Arial" w:cs="Arial"/>
          <w:b/>
          <w:bCs/>
          <w:color w:val="4B0082"/>
          <w:sz w:val="44"/>
          <w:szCs w:val="44"/>
        </w:rPr>
      </w:pPr>
      <w:bookmarkStart w:id="51" w:name="_Toc218083770"/>
      <w:r w:rsidRPr="00413148">
        <w:rPr>
          <w:rFonts w:ascii="Arial" w:hAnsi="Arial" w:cs="Arial"/>
          <w:b/>
          <w:color w:val="4B0082"/>
          <w:sz w:val="44"/>
          <w:szCs w:val="44"/>
        </w:rPr>
        <w:t>P</w:t>
      </w:r>
      <w:r w:rsidR="00167060" w:rsidRPr="00413148">
        <w:rPr>
          <w:rFonts w:ascii="Arial" w:hAnsi="Arial" w:cs="Arial"/>
          <w:b/>
          <w:color w:val="4B0082"/>
          <w:sz w:val="44"/>
          <w:szCs w:val="44"/>
        </w:rPr>
        <w:t xml:space="preserve">ART </w:t>
      </w:r>
      <w:r w:rsidR="00310D90" w:rsidRPr="00413148">
        <w:rPr>
          <w:rFonts w:ascii="Arial" w:hAnsi="Arial" w:cs="Arial"/>
          <w:b/>
          <w:bCs/>
          <w:color w:val="4B0082"/>
          <w:sz w:val="44"/>
          <w:szCs w:val="44"/>
        </w:rPr>
        <w:t>I</w:t>
      </w:r>
      <w:r w:rsidR="00167060" w:rsidRPr="00413148">
        <w:rPr>
          <w:rFonts w:ascii="Arial" w:hAnsi="Arial" w:cs="Arial"/>
          <w:b/>
          <w:color w:val="4B0082"/>
          <w:sz w:val="44"/>
          <w:szCs w:val="44"/>
        </w:rPr>
        <w:t xml:space="preserve">V: </w:t>
      </w:r>
      <w:r w:rsidR="000C44A4" w:rsidRPr="00413148">
        <w:rPr>
          <w:rFonts w:ascii="Arial" w:hAnsi="Arial" w:cs="Arial"/>
          <w:b/>
          <w:color w:val="4B0082"/>
          <w:sz w:val="44"/>
          <w:szCs w:val="44"/>
        </w:rPr>
        <w:t>Enforcement of the City Human Rights Law</w:t>
      </w:r>
      <w:r w:rsidR="00167060" w:rsidRPr="00413148">
        <w:rPr>
          <w:rFonts w:ascii="Arial" w:hAnsi="Arial" w:cs="Arial"/>
          <w:b/>
          <w:color w:val="4B0082"/>
          <w:sz w:val="44"/>
          <w:szCs w:val="44"/>
        </w:rPr>
        <w:t xml:space="preserve"> and Contacting the Commission on Human Rights</w:t>
      </w:r>
      <w:bookmarkEnd w:id="51"/>
    </w:p>
    <w:p w14:paraId="6CFF5C7F" w14:textId="77777777" w:rsidR="000C44A4" w:rsidRPr="00413148" w:rsidRDefault="000C44A4" w:rsidP="00DD5216">
      <w:pPr>
        <w:rPr>
          <w:b/>
          <w:bCs/>
        </w:rPr>
      </w:pPr>
    </w:p>
    <w:p w14:paraId="1B8C5C84" w14:textId="582B3439" w:rsidR="000C44A4" w:rsidRPr="00413148" w:rsidRDefault="000C44A4" w:rsidP="00DD5216">
      <w:r w:rsidRPr="00413148">
        <w:t xml:space="preserve">Individuals interested in vindicating their rights under the NYCHRL can choose to file a complaint with the Commission’s Law Enforcement Bureau within one (1) year of the discriminatory act, </w:t>
      </w:r>
      <w:r w:rsidRPr="00413148">
        <w:lastRenderedPageBreak/>
        <w:t>except for complaints alleging gender</w:t>
      </w:r>
      <w:r w:rsidR="009376AC" w:rsidRPr="00413148">
        <w:t>-</w:t>
      </w:r>
      <w:r w:rsidRPr="00413148">
        <w:t>based harassment, which can be filed with the Commission within three (3) years, or they may file a complaint alleging violations of any portion of the NYCHRL in court within three (3) years of the discriminatory act.</w:t>
      </w:r>
    </w:p>
    <w:p w14:paraId="72C5E87A" w14:textId="77777777" w:rsidR="000C44A4" w:rsidRPr="00413148" w:rsidRDefault="000C44A4" w:rsidP="00DD5216"/>
    <w:p w14:paraId="2D7476D3" w14:textId="77777777" w:rsidR="000C44A4" w:rsidRPr="00413148" w:rsidRDefault="000C44A4" w:rsidP="00DD5216">
      <w:r w:rsidRPr="00413148">
        <w:t xml:space="preserve">When the Bureau investigates a covered entity based on a claim of a violation of the NYCHRL, the covered entity is strongly encouraged to cooperate immediately with the Bureau. The Bureau may, in its discretion, resolve the matter via early intervention by working with the aggrieved individual and a covered entity to resolve the issue the individual is experiencing. </w:t>
      </w:r>
      <w:r w:rsidRPr="00413148">
        <w:rPr>
          <w:rFonts w:eastAsia="Arial" w:cs="Arial"/>
        </w:rPr>
        <w:t xml:space="preserve">The Bureau and </w:t>
      </w:r>
      <w:r w:rsidR="378BE6BB" w:rsidRPr="00413148">
        <w:rPr>
          <w:rFonts w:eastAsia="Arial" w:cs="Arial"/>
        </w:rPr>
        <w:t xml:space="preserve">the </w:t>
      </w:r>
      <w:r w:rsidRPr="00413148">
        <w:rPr>
          <w:rFonts w:eastAsia="Arial" w:cs="Arial"/>
        </w:rPr>
        <w:t xml:space="preserve">parties must all agree to participate in an early intervention, which can provide expedited relief where violations are ongoing, among other factors. </w:t>
      </w:r>
      <w:r w:rsidRPr="00413148">
        <w:t xml:space="preserve">Such early interventions can include identifying an accommodation that meets a person’s needs and does not pose an undue hardship to the covered entity. </w:t>
      </w:r>
      <w:r w:rsidRPr="00413148">
        <w:rPr>
          <w:rFonts w:eastAsia="Arial" w:cs="Arial"/>
        </w:rPr>
        <w:t xml:space="preserve">Where allegations of discrimination ultimately are addressed through filed complaints, a </w:t>
      </w:r>
      <w:r w:rsidR="007E2DDF" w:rsidRPr="00413148">
        <w:rPr>
          <w:rFonts w:eastAsia="Arial" w:cs="Arial"/>
        </w:rPr>
        <w:t>covered entity’s</w:t>
      </w:r>
      <w:r w:rsidRPr="00413148">
        <w:rPr>
          <w:rFonts w:eastAsia="Arial" w:cs="Arial"/>
        </w:rPr>
        <w:t xml:space="preserve"> early, full cooperation </w:t>
      </w:r>
      <w:r w:rsidRPr="00413148">
        <w:t xml:space="preserve">could serve to mitigate penalties and damages. </w:t>
      </w:r>
    </w:p>
    <w:p w14:paraId="67FF42B5" w14:textId="77777777" w:rsidR="00D8515D" w:rsidRPr="00413148" w:rsidRDefault="00D8515D" w:rsidP="00DD5216"/>
    <w:p w14:paraId="46AF1396" w14:textId="77777777" w:rsidR="00D8515D" w:rsidRPr="00413148" w:rsidRDefault="00D8515D" w:rsidP="00DD5216">
      <w:r w:rsidRPr="00413148">
        <w:t>Individuals who feel they have experienced discrimination can contact the Commission in a number of ways:</w:t>
      </w:r>
    </w:p>
    <w:p w14:paraId="458F48AB" w14:textId="77777777" w:rsidR="0095478F" w:rsidRPr="00413148" w:rsidRDefault="0095478F" w:rsidP="00DD5216"/>
    <w:p w14:paraId="24E3A688" w14:textId="01003D17" w:rsidR="00D8515D" w:rsidRPr="00413148" w:rsidRDefault="00D8515D" w:rsidP="00113630">
      <w:pPr>
        <w:pStyle w:val="ListParagraph"/>
        <w:numPr>
          <w:ilvl w:val="0"/>
          <w:numId w:val="27"/>
        </w:numPr>
      </w:pPr>
      <w:r w:rsidRPr="00413148">
        <w:t xml:space="preserve">Telephone: </w:t>
      </w:r>
      <w:r w:rsidR="00AF28EB" w:rsidRPr="00413148">
        <w:t xml:space="preserve"> Individuals can call the Commission directly at </w:t>
      </w:r>
      <w:r w:rsidRPr="00413148">
        <w:t>(212) 416-0197</w:t>
      </w:r>
      <w:r w:rsidR="00AF28EB" w:rsidRPr="00413148">
        <w:t xml:space="preserve">, or they can call 311 and </w:t>
      </w:r>
      <w:r w:rsidR="00B37B4C" w:rsidRPr="00413148">
        <w:t>ask to speak with “Human Rights”</w:t>
      </w:r>
      <w:r w:rsidR="00683AF8" w:rsidRPr="00413148">
        <w:t>.</w:t>
      </w:r>
    </w:p>
    <w:p w14:paraId="4C788426" w14:textId="77777777" w:rsidR="0095478F" w:rsidRPr="00413148" w:rsidRDefault="0095478F" w:rsidP="00DD5216">
      <w:pPr>
        <w:pStyle w:val="ListParagraph"/>
      </w:pPr>
    </w:p>
    <w:p w14:paraId="4672905A" w14:textId="1F992AD7" w:rsidR="00D8515D" w:rsidRPr="00413148" w:rsidRDefault="00AF28EB" w:rsidP="00113630">
      <w:pPr>
        <w:pStyle w:val="ListParagraph"/>
        <w:numPr>
          <w:ilvl w:val="0"/>
          <w:numId w:val="27"/>
        </w:numPr>
      </w:pPr>
      <w:r w:rsidRPr="00413148">
        <w:t xml:space="preserve">Website:  </w:t>
      </w:r>
      <w:r w:rsidR="00B37B4C" w:rsidRPr="00413148">
        <w:t xml:space="preserve">Individuals can visit the Commission’s website at </w:t>
      </w:r>
      <w:hyperlink r:id="rId12" w:history="1">
        <w:r w:rsidR="00BE1EFC" w:rsidRPr="00413148">
          <w:rPr>
            <w:rStyle w:val="Hyperlink"/>
          </w:rPr>
          <w:t>https://www.nyc.gov/site/cchr/index.page</w:t>
        </w:r>
      </w:hyperlink>
      <w:r w:rsidR="00BE1EFC" w:rsidRPr="00413148">
        <w:t>, and they can file</w:t>
      </w:r>
      <w:r w:rsidR="0095478F" w:rsidRPr="00413148">
        <w:t xml:space="preserve"> report discrimination on the Commission’s website at, </w:t>
      </w:r>
      <w:hyperlink r:id="rId13" w:history="1">
        <w:r w:rsidR="0095478F" w:rsidRPr="00413148">
          <w:rPr>
            <w:rStyle w:val="Hyperlink"/>
          </w:rPr>
          <w:t>https://www.nyc.gov/site/cchr/about/report-discrimination.page</w:t>
        </w:r>
      </w:hyperlink>
      <w:r w:rsidR="00683AF8" w:rsidRPr="00413148">
        <w:t>.</w:t>
      </w:r>
    </w:p>
    <w:p w14:paraId="3418B1C6" w14:textId="77777777" w:rsidR="0095478F" w:rsidRPr="00413148" w:rsidRDefault="0095478F" w:rsidP="00DD5216">
      <w:pPr>
        <w:pStyle w:val="ListParagraph"/>
      </w:pPr>
    </w:p>
    <w:p w14:paraId="3A6582B1" w14:textId="2558D46B" w:rsidR="00617EE5" w:rsidRPr="00DD5216" w:rsidRDefault="5F2AF29A" w:rsidP="00113630">
      <w:pPr>
        <w:pStyle w:val="ListParagraph"/>
        <w:numPr>
          <w:ilvl w:val="0"/>
          <w:numId w:val="27"/>
        </w:numPr>
      </w:pPr>
      <w:r w:rsidRPr="00413148">
        <w:t>Individuals</w:t>
      </w:r>
      <w:r w:rsidR="79593E60" w:rsidRPr="00413148">
        <w:t xml:space="preserve"> can also come to one of the Commis</w:t>
      </w:r>
      <w:r w:rsidR="79020CCC" w:rsidRPr="00413148">
        <w:t>s</w:t>
      </w:r>
      <w:r w:rsidR="79593E60" w:rsidRPr="00413148">
        <w:t xml:space="preserve">ion’s </w:t>
      </w:r>
      <w:r w:rsidR="340DAA36" w:rsidRPr="00413148">
        <w:t>five borough</w:t>
      </w:r>
      <w:r w:rsidR="25D8C64A" w:rsidRPr="00413148">
        <w:t xml:space="preserve"> offices</w:t>
      </w:r>
      <w:r w:rsidR="79020CCC" w:rsidRPr="00413148">
        <w:t>, including the Commission’s central office, which is located at 22 Reade Street, New York, NY 10007.</w:t>
      </w:r>
    </w:p>
    <w:sectPr w:rsidR="00617EE5" w:rsidRPr="00DD5216" w:rsidSect="00E224FA">
      <w:headerReference w:type="default" r:id="rId14"/>
      <w:footerReference w:type="even" r:id="rId15"/>
      <w:footerReference w:type="default" r:id="rId16"/>
      <w:footerReference w:type="first" r:id="rId17"/>
      <w:pgSz w:w="12240" w:h="15840"/>
      <w:pgMar w:top="1152" w:right="1152" w:bottom="1152" w:left="1152" w:header="720" w:footer="720" w:gutter="0"/>
      <w:pgNumType w:start="1"/>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6D38A" w14:textId="77777777" w:rsidR="008F7D27" w:rsidRPr="00413148" w:rsidRDefault="008F7D27" w:rsidP="00332FFE">
      <w:r w:rsidRPr="00413148">
        <w:separator/>
      </w:r>
    </w:p>
  </w:endnote>
  <w:endnote w:type="continuationSeparator" w:id="0">
    <w:p w14:paraId="3AEAB4F4" w14:textId="77777777" w:rsidR="008F7D27" w:rsidRPr="00413148" w:rsidRDefault="008F7D27" w:rsidP="00332FFE">
      <w:r w:rsidRPr="00413148">
        <w:continuationSeparator/>
      </w:r>
    </w:p>
  </w:endnote>
  <w:endnote w:type="continuationNotice" w:id="1">
    <w:p w14:paraId="25A6E59E" w14:textId="77777777" w:rsidR="008F7D27" w:rsidRPr="00413148" w:rsidRDefault="008F7D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Helvetica Neue LT Std">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2257212"/>
      <w:docPartObj>
        <w:docPartGallery w:val="Page Numbers (Bottom of Page)"/>
        <w:docPartUnique/>
      </w:docPartObj>
    </w:sdtPr>
    <w:sdtContent>
      <w:p w14:paraId="1F156D77" w14:textId="0A2549A5" w:rsidR="000A3366" w:rsidRPr="00413148" w:rsidRDefault="000A3366" w:rsidP="008B175F">
        <w:pPr>
          <w:pStyle w:val="Footer"/>
          <w:framePr w:wrap="none" w:vAnchor="text" w:hAnchor="margin" w:xAlign="center" w:y="1"/>
          <w:rPr>
            <w:rStyle w:val="PageNumber"/>
          </w:rPr>
        </w:pPr>
        <w:r w:rsidRPr="00413148">
          <w:rPr>
            <w:rStyle w:val="PageNumber"/>
          </w:rPr>
          <w:fldChar w:fldCharType="begin"/>
        </w:r>
        <w:r w:rsidRPr="00413148">
          <w:rPr>
            <w:rStyle w:val="PageNumber"/>
          </w:rPr>
          <w:instrText xml:space="preserve"> PAGE </w:instrText>
        </w:r>
        <w:r w:rsidRPr="00413148">
          <w:rPr>
            <w:rStyle w:val="PageNumber"/>
          </w:rPr>
          <w:fldChar w:fldCharType="separate"/>
        </w:r>
        <w:r w:rsidRPr="00413148">
          <w:rPr>
            <w:rStyle w:val="PageNumber"/>
          </w:rPr>
          <w:fldChar w:fldCharType="end"/>
        </w:r>
      </w:p>
    </w:sdtContent>
  </w:sdt>
  <w:p w14:paraId="1D4FF276" w14:textId="77777777" w:rsidR="000A3366" w:rsidRPr="00413148" w:rsidRDefault="000A33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6506047"/>
      <w:docPartObj>
        <w:docPartGallery w:val="Page Numbers (Bottom of Page)"/>
        <w:docPartUnique/>
      </w:docPartObj>
    </w:sdtPr>
    <w:sdtContent>
      <w:p w14:paraId="0483C720" w14:textId="3EBECFA5" w:rsidR="000A3366" w:rsidRPr="00413148" w:rsidRDefault="000A3366" w:rsidP="008B175F">
        <w:pPr>
          <w:pStyle w:val="Footer"/>
          <w:framePr w:wrap="none" w:vAnchor="text" w:hAnchor="margin" w:xAlign="center" w:y="1"/>
          <w:rPr>
            <w:rStyle w:val="PageNumber"/>
          </w:rPr>
        </w:pPr>
        <w:r w:rsidRPr="00413148">
          <w:rPr>
            <w:rStyle w:val="PageNumber"/>
          </w:rPr>
          <w:fldChar w:fldCharType="begin"/>
        </w:r>
        <w:r w:rsidRPr="00413148">
          <w:rPr>
            <w:rStyle w:val="PageNumber"/>
          </w:rPr>
          <w:instrText xml:space="preserve"> PAGE </w:instrText>
        </w:r>
        <w:r w:rsidRPr="00413148">
          <w:rPr>
            <w:rStyle w:val="PageNumber"/>
          </w:rPr>
          <w:fldChar w:fldCharType="separate"/>
        </w:r>
        <w:r w:rsidRPr="00413148">
          <w:rPr>
            <w:rStyle w:val="PageNumber"/>
          </w:rPr>
          <w:t>92</w:t>
        </w:r>
        <w:r w:rsidRPr="00413148">
          <w:rPr>
            <w:rStyle w:val="PageNumber"/>
          </w:rPr>
          <w:fldChar w:fldCharType="end"/>
        </w:r>
      </w:p>
    </w:sdtContent>
  </w:sdt>
  <w:p w14:paraId="44B0329F" w14:textId="75BFD473" w:rsidR="00790BE1" w:rsidRPr="00413148" w:rsidRDefault="00790BE1">
    <w:pPr>
      <w:pStyle w:val="Footer"/>
      <w:jc w:val="center"/>
    </w:pPr>
  </w:p>
  <w:p w14:paraId="3692D401" w14:textId="6426475A" w:rsidR="00790BE1" w:rsidRPr="00413148" w:rsidRDefault="00790BE1" w:rsidP="000D22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F98A4" w14:textId="77777777" w:rsidR="00D63CA8" w:rsidRPr="00413148" w:rsidRDefault="00D63CA8" w:rsidP="00D63CA8">
    <w:pPr>
      <w:spacing w:after="60"/>
      <w:rPr>
        <w:rFonts w:eastAsia="Times New Roman" w:cs="Arial"/>
        <w:color w:val="000000"/>
        <w:szCs w:val="32"/>
      </w:rPr>
    </w:pPr>
    <w:r w:rsidRPr="00413148">
      <w:rPr>
        <w:rFonts w:eastAsia="Times New Roman" w:cs="Arial"/>
        <w:b/>
        <w:bCs/>
        <w:color w:val="000000"/>
        <w:szCs w:val="32"/>
      </w:rPr>
      <w:t>Central Office:</w:t>
    </w:r>
    <w:r w:rsidRPr="00413148">
      <w:rPr>
        <w:rFonts w:eastAsia="Times New Roman" w:cs="Arial"/>
        <w:color w:val="000000"/>
        <w:szCs w:val="32"/>
      </w:rPr>
      <w:t xml:space="preserve"> 22 Reade Street, New York, NY 10007</w:t>
    </w:r>
  </w:p>
  <w:p w14:paraId="04B746CB" w14:textId="2B8C3565" w:rsidR="00D63CA8" w:rsidRPr="00413148" w:rsidRDefault="00D63CA8" w:rsidP="00D63CA8">
    <w:pPr>
      <w:pStyle w:val="Footer"/>
      <w:rPr>
        <w:rFonts w:cs="Arial"/>
      </w:rPr>
    </w:pPr>
    <w:hyperlink r:id="rId1" w:history="1">
      <w:r w:rsidRPr="00413148">
        <w:rPr>
          <w:rStyle w:val="Hyperlink"/>
          <w:rFonts w:cs="Arial"/>
          <w:color w:val="auto"/>
          <w:szCs w:val="32"/>
        </w:rPr>
        <w:t>NYC.gov/</w:t>
      </w:r>
      <w:proofErr w:type="spellStart"/>
      <w:r w:rsidRPr="00413148">
        <w:rPr>
          <w:rStyle w:val="Hyperlink"/>
          <w:rFonts w:cs="Arial"/>
          <w:color w:val="auto"/>
          <w:szCs w:val="32"/>
        </w:rPr>
        <w:t>HumanRights</w:t>
      </w:r>
      <w:proofErr w:type="spellEnd"/>
    </w:hyperlink>
    <w:r w:rsidRPr="00413148">
      <w:rPr>
        <w:rFonts w:cs="Arial"/>
        <w:szCs w:val="32"/>
      </w:rPr>
      <w:t xml:space="preserve">  |</w:t>
    </w:r>
    <w:r w:rsidRPr="00413148">
      <w:rPr>
        <w:rFonts w:cs="Arial"/>
      </w:rPr>
      <w:t xml:space="preserve">  </w:t>
    </w:r>
    <w:r w:rsidRPr="00413148">
      <w:rPr>
        <w:rFonts w:cs="Arial"/>
        <w:noProof/>
      </w:rPr>
      <w:drawing>
        <wp:inline distT="0" distB="0" distL="0" distR="0" wp14:anchorId="206644E2" wp14:editId="17871ED4">
          <wp:extent cx="121816" cy="228598"/>
          <wp:effectExtent l="0" t="0" r="5715" b="635"/>
          <wp:docPr id="576659436" name="Picture 576659436" descr="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659436" name="Picture 576659436" descr="Shape&#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21816" cy="228598"/>
                  </a:xfrm>
                  <a:prstGeom prst="rect">
                    <a:avLst/>
                  </a:prstGeom>
                  <a:noFill/>
                </pic:spPr>
              </pic:pic>
            </a:graphicData>
          </a:graphic>
        </wp:inline>
      </w:drawing>
    </w:r>
    <w:r w:rsidRPr="00413148">
      <w:rPr>
        <w:rFonts w:cs="Arial"/>
        <w:color w:val="000000" w:themeColor="text1"/>
        <w:szCs w:val="32"/>
      </w:rPr>
      <w:t xml:space="preserve">   </w:t>
    </w:r>
    <w:r w:rsidRPr="00413148">
      <w:rPr>
        <w:rFonts w:cs="Arial"/>
        <w:noProof/>
      </w:rPr>
      <w:drawing>
        <wp:inline distT="0" distB="0" distL="0" distR="0" wp14:anchorId="160C7726" wp14:editId="35B65953">
          <wp:extent cx="223570" cy="228414"/>
          <wp:effectExtent l="0" t="0" r="5080" b="635"/>
          <wp:docPr id="990394453" name="Picture 990394453" descr="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394453" name="Picture 990394453" descr="Shape&#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223570" cy="228414"/>
                  </a:xfrm>
                  <a:prstGeom prst="rect">
                    <a:avLst/>
                  </a:prstGeom>
                </pic:spPr>
              </pic:pic>
            </a:graphicData>
          </a:graphic>
        </wp:inline>
      </w:drawing>
    </w:r>
    <w:r w:rsidRPr="00413148">
      <w:rPr>
        <w:rFonts w:cs="Arial"/>
        <w:color w:val="000000" w:themeColor="text1"/>
        <w:szCs w:val="32"/>
      </w:rPr>
      <w:t xml:space="preserve">  </w:t>
    </w:r>
    <w:r w:rsidRPr="00413148">
      <w:rPr>
        <w:rFonts w:cs="Arial"/>
        <w:noProof/>
      </w:rPr>
      <w:drawing>
        <wp:inline distT="0" distB="0" distL="0" distR="0" wp14:anchorId="7AB60150" wp14:editId="2F8D9960">
          <wp:extent cx="228600" cy="228600"/>
          <wp:effectExtent l="0" t="0" r="0" b="0"/>
          <wp:docPr id="1042890039" name="Picture 1042890039" descr="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890039" name="Picture 1042890039" descr="Shap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Pr="00413148">
      <w:rPr>
        <w:rFonts w:cs="Arial"/>
        <w:color w:val="000000" w:themeColor="text1"/>
        <w:szCs w:val="32"/>
      </w:rPr>
      <w:t xml:space="preserve">   </w:t>
    </w:r>
    <w:r w:rsidRPr="00413148">
      <w:rPr>
        <w:rFonts w:cs="Arial"/>
        <w:noProof/>
      </w:rPr>
      <w:drawing>
        <wp:inline distT="0" distB="0" distL="0" distR="0" wp14:anchorId="1F2EB685" wp14:editId="6641B1A5">
          <wp:extent cx="324739" cy="228246"/>
          <wp:effectExtent l="0" t="0" r="5715" b="635"/>
          <wp:docPr id="49450342" name="Picture 49450342" descr="Shape,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50342" name="Picture 49450342" descr="Shape, arrow&#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24739" cy="228246"/>
                  </a:xfrm>
                  <a:prstGeom prst="rect">
                    <a:avLst/>
                  </a:prstGeom>
                </pic:spPr>
              </pic:pic>
            </a:graphicData>
          </a:graphic>
        </wp:inline>
      </w:drawing>
    </w:r>
    <w:r w:rsidRPr="00413148">
      <w:rPr>
        <w:rFonts w:cs="Arial"/>
        <w:color w:val="000000" w:themeColor="text1"/>
        <w:szCs w:val="32"/>
      </w:rPr>
      <w:t xml:space="preserve">   </w:t>
    </w:r>
    <w:r w:rsidRPr="00413148">
      <w:rPr>
        <w:rFonts w:cs="Arial"/>
        <w:noProof/>
      </w:rPr>
      <w:drawing>
        <wp:inline distT="0" distB="0" distL="0" distR="0" wp14:anchorId="15128594" wp14:editId="0148E282">
          <wp:extent cx="269045" cy="228334"/>
          <wp:effectExtent l="0" t="0" r="0" b="635"/>
          <wp:docPr id="654696062" name="Picture 654696062" descr="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696062" name="Picture 654696062" descr="Shape&#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69045" cy="228334"/>
                  </a:xfrm>
                  <a:prstGeom prst="rect">
                    <a:avLst/>
                  </a:prstGeom>
                </pic:spPr>
              </pic:pic>
            </a:graphicData>
          </a:graphic>
        </wp:inline>
      </w:drawing>
    </w:r>
    <w:r w:rsidRPr="00413148">
      <w:rPr>
        <w:rFonts w:cs="Arial"/>
        <w:color w:val="5F1C95"/>
        <w:szCs w:val="32"/>
      </w:rPr>
      <w:t xml:space="preserve">   </w:t>
    </w:r>
    <w:r w:rsidRPr="00413148">
      <w:rPr>
        <w:rFonts w:cs="Arial"/>
        <w:szCs w:val="32"/>
      </w:rPr>
      <w:t>@NYCCHR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C6EE9" w14:textId="77777777" w:rsidR="008F7D27" w:rsidRPr="00413148" w:rsidRDefault="008F7D27" w:rsidP="00332FFE">
      <w:r w:rsidRPr="00413148">
        <w:separator/>
      </w:r>
    </w:p>
  </w:footnote>
  <w:footnote w:type="continuationSeparator" w:id="0">
    <w:p w14:paraId="33EFEA1F" w14:textId="77777777" w:rsidR="008F7D27" w:rsidRPr="00413148" w:rsidRDefault="008F7D27" w:rsidP="00332FFE">
      <w:r w:rsidRPr="00413148">
        <w:continuationSeparator/>
      </w:r>
    </w:p>
  </w:footnote>
  <w:footnote w:type="continuationNotice" w:id="1">
    <w:p w14:paraId="06891292" w14:textId="77777777" w:rsidR="008F7D27" w:rsidRPr="00413148" w:rsidRDefault="008F7D27"/>
  </w:footnote>
  <w:footnote w:id="2">
    <w:p w14:paraId="6D1AB7DF" w14:textId="6870DE9A" w:rsidR="00332FFE" w:rsidRPr="00413148" w:rsidRDefault="00332FFE" w:rsidP="00DD5216">
      <w:pPr>
        <w:pStyle w:val="FootnoteText"/>
        <w:ind w:left="0"/>
      </w:pPr>
      <w:r w:rsidRPr="00413148">
        <w:rPr>
          <w:rStyle w:val="FootnoteReference"/>
        </w:rPr>
        <w:footnoteRef/>
      </w:r>
      <w:r w:rsidR="00F13A3B" w:rsidRPr="00413148">
        <w:t xml:space="preserve"> </w:t>
      </w:r>
      <w:r w:rsidRPr="00413148">
        <w:t>United States Census Bureau, American Community Survey Data (202</w:t>
      </w:r>
      <w:r w:rsidR="009060B2" w:rsidRPr="00413148">
        <w:t>4</w:t>
      </w:r>
      <w:r w:rsidRPr="00413148">
        <w:t>),</w:t>
      </w:r>
      <w:r w:rsidR="001633CC" w:rsidRPr="00413148">
        <w:t xml:space="preserve"> </w:t>
      </w:r>
      <w:hyperlink r:id="rId1" w:history="1">
        <w:r w:rsidR="009060B2" w:rsidRPr="00413148">
          <w:rPr>
            <w:rStyle w:val="Hyperlink"/>
          </w:rPr>
          <w:t>https://data.census.gov/table?t=Disability&amp;g=160XX00US3651000&amp;y=2024&amp;d=ACS+1-Year+Estimates+Selected+Population+Profiles</w:t>
        </w:r>
      </w:hyperlink>
      <w:r w:rsidRPr="00413148">
        <w:t>.</w:t>
      </w:r>
    </w:p>
  </w:footnote>
  <w:footnote w:id="3">
    <w:p w14:paraId="350CE7B7" w14:textId="775AE0F4" w:rsidR="00332FFE" w:rsidRPr="00413148" w:rsidRDefault="00332FFE" w:rsidP="00DD5216">
      <w:pPr>
        <w:pStyle w:val="FootnoteText"/>
        <w:ind w:left="0"/>
      </w:pPr>
      <w:r w:rsidRPr="00413148">
        <w:rPr>
          <w:rStyle w:val="FootnoteReference"/>
        </w:rPr>
        <w:footnoteRef/>
      </w:r>
      <w:r w:rsidR="699C77FD" w:rsidRPr="00413148">
        <w:t xml:space="preserve"> </w:t>
      </w:r>
      <w:r w:rsidR="00F27435" w:rsidRPr="00413148">
        <w:t>N.Y.C</w:t>
      </w:r>
      <w:r w:rsidR="004049F0" w:rsidRPr="00413148">
        <w:t>.</w:t>
      </w:r>
      <w:r w:rsidR="00F27435" w:rsidRPr="00413148">
        <w:t xml:space="preserve"> Admin. Code § 8-107</w:t>
      </w:r>
      <w:r w:rsidR="699C77FD" w:rsidRPr="00413148">
        <w:t xml:space="preserve">. </w:t>
      </w:r>
      <w:r w:rsidR="001675D3" w:rsidRPr="00413148">
        <w:t>T</w:t>
      </w:r>
      <w:r w:rsidR="00C05687" w:rsidRPr="00413148">
        <w:t xml:space="preserve">his guidance uses </w:t>
      </w:r>
      <w:r w:rsidR="001675D3" w:rsidRPr="00413148">
        <w:t>the terms “</w:t>
      </w:r>
      <w:r w:rsidR="00C05687" w:rsidRPr="00413148">
        <w:t>disability</w:t>
      </w:r>
      <w:r w:rsidR="00680E3E" w:rsidRPr="00413148">
        <w:t>” and “disabilities” interchangeably</w:t>
      </w:r>
      <w:r w:rsidR="005C2C53" w:rsidRPr="00413148">
        <w:t xml:space="preserve"> </w:t>
      </w:r>
      <w:r w:rsidR="001A4638" w:rsidRPr="00413148">
        <w:t>because the Commission recognizes</w:t>
      </w:r>
      <w:r w:rsidR="009D5E3F" w:rsidRPr="00413148">
        <w:t xml:space="preserve"> that </w:t>
      </w:r>
      <w:r w:rsidR="00680E3E" w:rsidRPr="00413148">
        <w:t>i</w:t>
      </w:r>
      <w:r w:rsidR="009D5E3F" w:rsidRPr="00413148">
        <w:t xml:space="preserve">ndividuals may live with </w:t>
      </w:r>
      <w:r w:rsidR="009F509A" w:rsidRPr="00413148">
        <w:t>one or more disabilit</w:t>
      </w:r>
      <w:r w:rsidR="00DC6E87" w:rsidRPr="00413148">
        <w:t>y</w:t>
      </w:r>
      <w:r w:rsidR="009F509A" w:rsidRPr="00413148">
        <w:t>.</w:t>
      </w:r>
      <w:r w:rsidR="0011382E" w:rsidRPr="00413148">
        <w:t xml:space="preserve"> More information on the NYCHRL can be found at </w:t>
      </w:r>
      <w:hyperlink r:id="rId2" w:history="1">
        <w:r w:rsidR="0011382E" w:rsidRPr="00413148">
          <w:rPr>
            <w:rStyle w:val="Hyperlink"/>
            <w:rFonts w:eastAsiaTheme="majorEastAsia"/>
          </w:rPr>
          <w:t>https://www.nyc.gov/site/cchr/law/the-law.page</w:t>
        </w:r>
      </w:hyperlink>
      <w:r w:rsidR="0011382E" w:rsidRPr="00413148">
        <w:t>.</w:t>
      </w:r>
    </w:p>
  </w:footnote>
  <w:footnote w:id="4">
    <w:p w14:paraId="4B221B24" w14:textId="6E88ABCD" w:rsidR="00332FFE" w:rsidRPr="00413148" w:rsidRDefault="00332FFE" w:rsidP="00DD5216">
      <w:pPr>
        <w:pStyle w:val="FootnoteText"/>
        <w:ind w:left="0"/>
      </w:pPr>
      <w:r w:rsidRPr="00413148">
        <w:rPr>
          <w:rStyle w:val="FootnoteReference"/>
        </w:rPr>
        <w:footnoteRef/>
      </w:r>
      <w:r w:rsidR="00491832" w:rsidRPr="00413148">
        <w:t xml:space="preserve"> </w:t>
      </w:r>
      <w:r w:rsidR="00491832" w:rsidRPr="00413148">
        <w:rPr>
          <w:i/>
          <w:iCs/>
        </w:rPr>
        <w:t>Id</w:t>
      </w:r>
      <w:r w:rsidR="00491832" w:rsidRPr="00413148">
        <w:t>.</w:t>
      </w:r>
    </w:p>
  </w:footnote>
  <w:footnote w:id="5">
    <w:p w14:paraId="76780EBD" w14:textId="765383F3" w:rsidR="00332FFE" w:rsidRPr="00413148" w:rsidRDefault="00332FFE" w:rsidP="00DD5216">
      <w:pPr>
        <w:pStyle w:val="FootnoteText"/>
        <w:ind w:left="0"/>
      </w:pPr>
      <w:r w:rsidRPr="00413148">
        <w:rPr>
          <w:rStyle w:val="FootnoteReference"/>
        </w:rPr>
        <w:footnoteRef/>
      </w:r>
      <w:r w:rsidRPr="00413148">
        <w:t xml:space="preserve"> </w:t>
      </w:r>
      <w:bookmarkStart w:id="1" w:name="_Hlk505068180"/>
      <w:r w:rsidRPr="00413148">
        <w:t>Local Law No. 85 § 1 (2005);</w:t>
      </w:r>
      <w:r w:rsidR="00367FFC" w:rsidRPr="00413148">
        <w:t xml:space="preserve"> </w:t>
      </w:r>
      <w:r w:rsidR="00447A35" w:rsidRPr="00413148">
        <w:rPr>
          <w:i/>
          <w:iCs/>
        </w:rPr>
        <w:t>see also</w:t>
      </w:r>
      <w:r w:rsidRPr="00413148">
        <w:t xml:space="preserve"> N.Y.C. Admin. Code § 8-130(a) (“The provisions of this title shall be construed liberally for the accomplishment of the uniquely broad and remedial purposes thereof, regardless of whether federal or New York state civil and human rights laws, including those laws with provisions worded comparably to provisions of this title, have been so construed.”)</w:t>
      </w:r>
      <w:bookmarkEnd w:id="1"/>
      <w:r w:rsidRPr="00413148">
        <w:t>.</w:t>
      </w:r>
    </w:p>
  </w:footnote>
  <w:footnote w:id="6">
    <w:p w14:paraId="76DA609E" w14:textId="60B7E411" w:rsidR="00332FFE" w:rsidRPr="00413148" w:rsidRDefault="00332FFE" w:rsidP="00DD5216">
      <w:pPr>
        <w:pStyle w:val="FootnoteText"/>
        <w:ind w:left="0"/>
      </w:pPr>
      <w:r w:rsidRPr="00413148">
        <w:rPr>
          <w:rStyle w:val="FootnoteReference"/>
        </w:rPr>
        <w:footnoteRef/>
      </w:r>
      <w:r w:rsidRPr="00413148">
        <w:t xml:space="preserve"> Local Law No. 35 (2016) </w:t>
      </w:r>
      <w:r w:rsidR="00C53430" w:rsidRPr="00413148">
        <w:t xml:space="preserve">(amending </w:t>
      </w:r>
      <w:r w:rsidRPr="00413148">
        <w:t>N.Y.C. Admin. Code § 8-130(b)</w:t>
      </w:r>
      <w:r w:rsidR="00C53430" w:rsidRPr="00413148">
        <w:t>)</w:t>
      </w:r>
      <w:r w:rsidRPr="00413148">
        <w:t>.</w:t>
      </w:r>
    </w:p>
  </w:footnote>
  <w:footnote w:id="7">
    <w:p w14:paraId="32B98642" w14:textId="5CD862FE" w:rsidR="00332FFE" w:rsidRPr="00413148" w:rsidRDefault="00332FFE" w:rsidP="00DD5216">
      <w:pPr>
        <w:pStyle w:val="FootnoteText"/>
        <w:ind w:left="0"/>
      </w:pPr>
      <w:r w:rsidRPr="00413148">
        <w:rPr>
          <w:rStyle w:val="FootnoteReference"/>
        </w:rPr>
        <w:footnoteRef/>
      </w:r>
      <w:r w:rsidRPr="00413148">
        <w:t xml:space="preserve"> N.Y.C. Admin. Code §§ 8-602–8-604.</w:t>
      </w:r>
    </w:p>
  </w:footnote>
  <w:footnote w:id="8">
    <w:p w14:paraId="12606B5E" w14:textId="6E614E2B" w:rsidR="00332FFE" w:rsidRPr="00413148" w:rsidRDefault="00332FFE" w:rsidP="00DD5216">
      <w:pPr>
        <w:pStyle w:val="FootnoteText"/>
        <w:ind w:left="0"/>
      </w:pPr>
      <w:r w:rsidRPr="00413148">
        <w:rPr>
          <w:rStyle w:val="FootnoteReference"/>
        </w:rPr>
        <w:footnoteRef/>
      </w:r>
      <w:r w:rsidRPr="00413148">
        <w:t xml:space="preserve"> N.Y.C. Admin. Code § 14-151.</w:t>
      </w:r>
    </w:p>
  </w:footnote>
  <w:footnote w:id="9">
    <w:p w14:paraId="1803C360" w14:textId="77777777" w:rsidR="00C25DDB" w:rsidRPr="00413148" w:rsidRDefault="00C25DDB" w:rsidP="00DD5216">
      <w:pPr>
        <w:pStyle w:val="FootnoteText"/>
        <w:ind w:left="0"/>
      </w:pPr>
      <w:r w:rsidRPr="00413148">
        <w:rPr>
          <w:rStyle w:val="FootnoteReference"/>
        </w:rPr>
        <w:footnoteRef/>
      </w:r>
      <w:r w:rsidRPr="00413148">
        <w:t xml:space="preserve"> </w:t>
      </w:r>
      <w:r w:rsidR="00B60062" w:rsidRPr="00413148">
        <w:t>While this document specifically reflects the Commission’s interpretation of the NYCHRL, the Commission has included references to related federal and state authority where it is persuasive and instructive.</w:t>
      </w:r>
    </w:p>
  </w:footnote>
  <w:footnote w:id="10">
    <w:p w14:paraId="636B05A0" w14:textId="285AE8FF" w:rsidR="001B70C6" w:rsidRPr="00413148" w:rsidRDefault="001B70C6" w:rsidP="00DD5216">
      <w:pPr>
        <w:pStyle w:val="FootnoteText"/>
        <w:ind w:left="0"/>
      </w:pPr>
      <w:r w:rsidRPr="00413148">
        <w:rPr>
          <w:rStyle w:val="FootnoteReference"/>
        </w:rPr>
        <w:footnoteRef/>
      </w:r>
      <w:r w:rsidRPr="00413148">
        <w:t xml:space="preserve"> </w:t>
      </w:r>
      <w:r w:rsidR="000C1999" w:rsidRPr="00413148">
        <w:rPr>
          <w:i/>
          <w:iCs/>
        </w:rPr>
        <w:t>See</w:t>
      </w:r>
      <w:r w:rsidR="002B7A2B" w:rsidRPr="00413148">
        <w:t xml:space="preserve"> </w:t>
      </w:r>
      <w:r w:rsidR="003C67C9" w:rsidRPr="00413148">
        <w:t>4</w:t>
      </w:r>
      <w:r w:rsidR="00994170" w:rsidRPr="00413148">
        <w:t>2</w:t>
      </w:r>
      <w:r w:rsidR="003C67C9" w:rsidRPr="00413148">
        <w:t xml:space="preserve"> U.S.C.A. §</w:t>
      </w:r>
      <w:r w:rsidR="00346168" w:rsidRPr="00413148">
        <w:t>§</w:t>
      </w:r>
      <w:r w:rsidR="00994170" w:rsidRPr="00413148">
        <w:t xml:space="preserve"> 12101</w:t>
      </w:r>
      <w:r w:rsidR="00346168" w:rsidRPr="00413148">
        <w:t xml:space="preserve"> </w:t>
      </w:r>
      <w:r w:rsidR="00346168" w:rsidRPr="00413148">
        <w:rPr>
          <w:i/>
          <w:iCs/>
        </w:rPr>
        <w:t>et seq</w:t>
      </w:r>
      <w:r w:rsidR="00346168" w:rsidRPr="00413148">
        <w:t>.</w:t>
      </w:r>
      <w:r w:rsidR="00F2423B" w:rsidRPr="00413148">
        <w:t xml:space="preserve">; </w:t>
      </w:r>
      <w:r w:rsidR="00AC4C3B" w:rsidRPr="00413148">
        <w:t>42 U.S.C.A. §</w:t>
      </w:r>
      <w:r w:rsidR="00D85E5C" w:rsidRPr="00413148">
        <w:t>§ 3601</w:t>
      </w:r>
      <w:r w:rsidR="006C02D7" w:rsidRPr="00413148">
        <w:t xml:space="preserve"> </w:t>
      </w:r>
      <w:r w:rsidR="006C02D7" w:rsidRPr="00413148">
        <w:rPr>
          <w:i/>
          <w:iCs/>
        </w:rPr>
        <w:t>et seq</w:t>
      </w:r>
      <w:r w:rsidR="00464157" w:rsidRPr="00413148">
        <w:t>.</w:t>
      </w:r>
    </w:p>
  </w:footnote>
  <w:footnote w:id="11">
    <w:p w14:paraId="1BC3BD78" w14:textId="2C145FFF" w:rsidR="0083041D" w:rsidRPr="00413148" w:rsidRDefault="0083041D" w:rsidP="00DD5216">
      <w:pPr>
        <w:pStyle w:val="FootnoteText"/>
        <w:ind w:left="0"/>
      </w:pPr>
      <w:r w:rsidRPr="00413148">
        <w:rPr>
          <w:rStyle w:val="FootnoteReference"/>
        </w:rPr>
        <w:footnoteRef/>
      </w:r>
      <w:r w:rsidRPr="00413148">
        <w:t xml:space="preserve"> </w:t>
      </w:r>
      <w:r w:rsidR="001F2F8A" w:rsidRPr="00413148">
        <w:rPr>
          <w:i/>
          <w:iCs/>
        </w:rPr>
        <w:t>Compare</w:t>
      </w:r>
      <w:r w:rsidR="001F2F8A" w:rsidRPr="00413148">
        <w:t xml:space="preserve"> </w:t>
      </w:r>
      <w:r w:rsidR="00477EFA" w:rsidRPr="00413148">
        <w:t>N.Y. E</w:t>
      </w:r>
      <w:r w:rsidR="00477EFA" w:rsidRPr="00413148">
        <w:rPr>
          <w:smallCaps/>
        </w:rPr>
        <w:t>xec</w:t>
      </w:r>
      <w:r w:rsidR="00477EFA" w:rsidRPr="00413148">
        <w:t>. L</w:t>
      </w:r>
      <w:r w:rsidR="00C11DA5" w:rsidRPr="00413148">
        <w:t>.</w:t>
      </w:r>
      <w:r w:rsidR="00477EFA" w:rsidRPr="00413148">
        <w:t xml:space="preserve"> §</w:t>
      </w:r>
      <w:r w:rsidR="00371B2E" w:rsidRPr="00413148">
        <w:t>§</w:t>
      </w:r>
      <w:r w:rsidR="00477EFA" w:rsidRPr="00413148">
        <w:t xml:space="preserve"> 29</w:t>
      </w:r>
      <w:r w:rsidR="007D3AD3" w:rsidRPr="00413148">
        <w:t>0</w:t>
      </w:r>
      <w:r w:rsidR="00371B2E" w:rsidRPr="00413148">
        <w:t>-301</w:t>
      </w:r>
      <w:r w:rsidR="00477EFA" w:rsidRPr="00413148">
        <w:t xml:space="preserve"> </w:t>
      </w:r>
      <w:r w:rsidR="00477EFA" w:rsidRPr="00413148">
        <w:rPr>
          <w:i/>
        </w:rPr>
        <w:t>with</w:t>
      </w:r>
      <w:r w:rsidR="00371B2E" w:rsidRPr="00413148">
        <w:t xml:space="preserve"> N.Y.C</w:t>
      </w:r>
      <w:r w:rsidR="00262A19" w:rsidRPr="00413148">
        <w:t>.</w:t>
      </w:r>
      <w:r w:rsidR="00371B2E" w:rsidRPr="00413148">
        <w:t xml:space="preserve"> Admin. Code </w:t>
      </w:r>
      <w:r w:rsidR="0099127D" w:rsidRPr="00413148">
        <w:t>Title</w:t>
      </w:r>
      <w:r w:rsidR="00EC0C66" w:rsidRPr="00413148">
        <w:t xml:space="preserve"> 8</w:t>
      </w:r>
      <w:r w:rsidR="0099127D" w:rsidRPr="00413148">
        <w:t>.</w:t>
      </w:r>
      <w:r w:rsidR="001F2F8A" w:rsidRPr="00413148">
        <w:t xml:space="preserve"> </w:t>
      </w:r>
      <w:r w:rsidR="00DB4A66" w:rsidRPr="00413148">
        <w:t>The N</w:t>
      </w:r>
      <w:r w:rsidR="00352A98" w:rsidRPr="00413148">
        <w:t>YSHRL</w:t>
      </w:r>
      <w:r w:rsidR="00DB4A66" w:rsidRPr="00413148">
        <w:t xml:space="preserve"> is a similar, but not analogous, state anti-discrimination law that is enforced by the New York State Division of Human Rights. </w:t>
      </w:r>
      <w:r w:rsidR="00FD52AB" w:rsidRPr="00413148">
        <w:t>This guidance does not discuss the NYSHRL in detail but notes that</w:t>
      </w:r>
      <w:r w:rsidR="00114A00" w:rsidRPr="00413148">
        <w:t>, despite similar construction provisions, the NYCHRL</w:t>
      </w:r>
      <w:r w:rsidR="00413456" w:rsidRPr="00413148">
        <w:t>’s disability protections are generally as</w:t>
      </w:r>
      <w:r w:rsidR="00622878" w:rsidRPr="00413148">
        <w:t xml:space="preserve"> protective</w:t>
      </w:r>
      <w:r w:rsidR="00413456" w:rsidRPr="00413148">
        <w:t xml:space="preserve"> or more protective than</w:t>
      </w:r>
      <w:r w:rsidR="00F05B62" w:rsidRPr="00413148">
        <w:t xml:space="preserve"> </w:t>
      </w:r>
      <w:r w:rsidR="001F2F8A" w:rsidRPr="00413148">
        <w:t xml:space="preserve">the NYSHRL’s. </w:t>
      </w:r>
    </w:p>
  </w:footnote>
  <w:footnote w:id="12">
    <w:p w14:paraId="3F485F1D" w14:textId="53F09BCD" w:rsidR="00332FFE" w:rsidRPr="00413148" w:rsidRDefault="00332FFE" w:rsidP="00DD5216">
      <w:pPr>
        <w:pStyle w:val="FootnoteText"/>
        <w:ind w:left="0"/>
      </w:pPr>
      <w:r w:rsidRPr="00413148">
        <w:rPr>
          <w:rStyle w:val="FootnoteReference"/>
        </w:rPr>
        <w:footnoteRef/>
      </w:r>
      <w:r w:rsidRPr="00413148">
        <w:t xml:space="preserve"> N.Y.C. Admin. Code § 8-102. In the case of alcoholism, drug</w:t>
      </w:r>
      <w:r w:rsidR="00EB0AA0" w:rsidRPr="00413148">
        <w:t xml:space="preserve"> </w:t>
      </w:r>
      <w:r w:rsidRPr="00413148">
        <w:t>addiction or other substance abuse, the term “disability” applies to a person who “is recovering or has recovered” and “currently is free of such abuse.”</w:t>
      </w:r>
      <w:r w:rsidR="00EF3C1D" w:rsidRPr="00413148">
        <w:t xml:space="preserve"> </w:t>
      </w:r>
      <w:r w:rsidR="00EF3C1D" w:rsidRPr="00413148">
        <w:rPr>
          <w:i/>
          <w:iCs/>
        </w:rPr>
        <w:t>Id.</w:t>
      </w:r>
    </w:p>
  </w:footnote>
  <w:footnote w:id="13">
    <w:p w14:paraId="5675B00E" w14:textId="693993D7" w:rsidR="00332FFE" w:rsidRPr="00413148" w:rsidRDefault="00332FFE" w:rsidP="00DD5216">
      <w:pPr>
        <w:pStyle w:val="FootnoteText"/>
        <w:ind w:left="0"/>
      </w:pPr>
      <w:r w:rsidRPr="00413148">
        <w:rPr>
          <w:rStyle w:val="FootnoteReference"/>
        </w:rPr>
        <w:footnoteRef/>
      </w:r>
      <w:r w:rsidRPr="00413148">
        <w:t xml:space="preserve"> </w:t>
      </w:r>
      <w:r w:rsidR="00EF3C1D" w:rsidRPr="00413148">
        <w:rPr>
          <w:i/>
          <w:iCs/>
        </w:rPr>
        <w:t>Id</w:t>
      </w:r>
      <w:r w:rsidRPr="00413148">
        <w:t>.</w:t>
      </w:r>
    </w:p>
  </w:footnote>
  <w:footnote w:id="14">
    <w:p w14:paraId="7BEFDEBA" w14:textId="3C69C921" w:rsidR="00332FFE" w:rsidRPr="00413148" w:rsidRDefault="00332FFE" w:rsidP="00DD5216">
      <w:pPr>
        <w:pStyle w:val="FootnoteText"/>
        <w:ind w:left="0"/>
        <w:rPr>
          <w:rFonts w:eastAsia="Arial"/>
        </w:rPr>
      </w:pPr>
      <w:r w:rsidRPr="00413148">
        <w:rPr>
          <w:rStyle w:val="FootnoteReference"/>
        </w:rPr>
        <w:footnoteRef/>
      </w:r>
      <w:r w:rsidRPr="00413148">
        <w:t xml:space="preserve"> </w:t>
      </w:r>
      <w:r w:rsidRPr="00413148">
        <w:rPr>
          <w:i/>
          <w:iCs/>
        </w:rPr>
        <w:t>See</w:t>
      </w:r>
      <w:r w:rsidR="00EF3C1D" w:rsidRPr="00413148">
        <w:t>,</w:t>
      </w:r>
      <w:r w:rsidRPr="00413148">
        <w:rPr>
          <w:i/>
          <w:iCs/>
        </w:rPr>
        <w:t xml:space="preserve"> e.g.</w:t>
      </w:r>
      <w:r w:rsidRPr="00413148">
        <w:t>,</w:t>
      </w:r>
      <w:r w:rsidRPr="00413148">
        <w:rPr>
          <w:i/>
          <w:iCs/>
        </w:rPr>
        <w:t xml:space="preserve"> Weissman v. Dawn Joy Fashions, Inc.</w:t>
      </w:r>
      <w:r w:rsidRPr="00413148">
        <w:t xml:space="preserve">, 214 F.3d 224, 233 (2d Cir. 2000) (stating that “disability” is “more broadly defined” under the NYCHRL than it is under the ADA); </w:t>
      </w:r>
      <w:proofErr w:type="spellStart"/>
      <w:r w:rsidRPr="00413148">
        <w:rPr>
          <w:i/>
        </w:rPr>
        <w:t>Pustilinik</w:t>
      </w:r>
      <w:proofErr w:type="spellEnd"/>
      <w:r w:rsidRPr="00413148">
        <w:rPr>
          <w:i/>
        </w:rPr>
        <w:t xml:space="preserve"> v. Battery Park City Authority</w:t>
      </w:r>
      <w:r w:rsidRPr="00413148">
        <w:t>, 71 Misc. 3d 1058, 1068-69 (</w:t>
      </w:r>
      <w:r w:rsidR="00AB5561" w:rsidRPr="00413148">
        <w:t xml:space="preserve">N.Y. </w:t>
      </w:r>
      <w:r w:rsidRPr="00413148">
        <w:t>Sup</w:t>
      </w:r>
      <w:r w:rsidR="004C5847" w:rsidRPr="00413148">
        <w:t>.</w:t>
      </w:r>
      <w:r w:rsidRPr="00413148">
        <w:t xml:space="preserve"> Ct</w:t>
      </w:r>
      <w:r w:rsidR="004C5847" w:rsidRPr="00413148">
        <w:t>.</w:t>
      </w:r>
      <w:r w:rsidRPr="00413148">
        <w:t xml:space="preserve"> 2021) (clarifying that plaintiffs asserting</w:t>
      </w:r>
      <w:r w:rsidR="00166D63" w:rsidRPr="00413148">
        <w:t>,</w:t>
      </w:r>
      <w:r w:rsidRPr="00413148">
        <w:t xml:space="preserve"> </w:t>
      </w:r>
      <w:r w:rsidRPr="00413148">
        <w:rPr>
          <w:i/>
          <w:iCs/>
        </w:rPr>
        <w:t>inter alia</w:t>
      </w:r>
      <w:r w:rsidR="00166D63" w:rsidRPr="00413148">
        <w:t>,</w:t>
      </w:r>
      <w:r w:rsidRPr="00413148">
        <w:t xml:space="preserve"> disability discrimination under the NYCHRL </w:t>
      </w:r>
      <w:r w:rsidR="00254CE5" w:rsidRPr="00413148">
        <w:t>must</w:t>
      </w:r>
      <w:r w:rsidRPr="00413148">
        <w:t xml:space="preserve"> satisfy the less demanding requirement that plaintiff’s disability was a motivating factor, as opposed to the but-for cause standard required by the ADA); </w:t>
      </w:r>
      <w:r w:rsidRPr="00413148">
        <w:rPr>
          <w:rFonts w:eastAsia="Arial"/>
          <w:i/>
        </w:rPr>
        <w:t>Primmer v. CBS Studios, Inc.</w:t>
      </w:r>
      <w:r w:rsidRPr="00413148">
        <w:rPr>
          <w:rFonts w:eastAsia="Arial"/>
        </w:rPr>
        <w:t xml:space="preserve">, 667 F. Supp. 2d 248 (S.D.N.Y. 2009) (emphasizing that the NYCHRL </w:t>
      </w:r>
      <w:r w:rsidR="0024632C" w:rsidRPr="00413148">
        <w:rPr>
          <w:rFonts w:eastAsia="Arial"/>
        </w:rPr>
        <w:t>has a “considerably broader</w:t>
      </w:r>
      <w:r w:rsidR="00615320" w:rsidRPr="00413148">
        <w:rPr>
          <w:rFonts w:eastAsia="Arial"/>
        </w:rPr>
        <w:t>” definition of disability than the ADA</w:t>
      </w:r>
      <w:r w:rsidRPr="00413148">
        <w:rPr>
          <w:rFonts w:eastAsia="Arial"/>
        </w:rPr>
        <w:t xml:space="preserve">); </w:t>
      </w:r>
      <w:r w:rsidRPr="00413148">
        <w:rPr>
          <w:rFonts w:eastAsia="Arial"/>
          <w:i/>
        </w:rPr>
        <w:t>Attis v. Solow Realty Dev. Co.</w:t>
      </w:r>
      <w:r w:rsidRPr="00413148">
        <w:rPr>
          <w:rFonts w:eastAsia="Arial"/>
        </w:rPr>
        <w:t xml:space="preserve">, 522 F. Supp. 2d 623, 631–32 (S.D.N.Y. 2007) (finding that any </w:t>
      </w:r>
      <w:r w:rsidR="008A06E8" w:rsidRPr="00413148">
        <w:rPr>
          <w:rFonts w:eastAsia="Arial"/>
        </w:rPr>
        <w:t>“</w:t>
      </w:r>
      <w:r w:rsidRPr="00413148">
        <w:rPr>
          <w:rFonts w:eastAsia="Arial"/>
        </w:rPr>
        <w:t xml:space="preserve">medically diagnosable impairment” is sufficient to constitute a disability under the NYCHRL); </w:t>
      </w:r>
      <w:r w:rsidRPr="00413148">
        <w:rPr>
          <w:rFonts w:eastAsia="Arial"/>
          <w:i/>
        </w:rPr>
        <w:t>Sussle v. Sirina Prot. Sys. Corp.</w:t>
      </w:r>
      <w:r w:rsidRPr="00413148">
        <w:rPr>
          <w:rFonts w:eastAsia="Arial"/>
        </w:rPr>
        <w:t>, 269 F. Supp. 2d 285, 316 (S.D.N.Y. 2003) (</w:t>
      </w:r>
      <w:r w:rsidR="007E1986" w:rsidRPr="00413148">
        <w:rPr>
          <w:rFonts w:eastAsia="Arial"/>
        </w:rPr>
        <w:t xml:space="preserve">finding that an employee’s failure </w:t>
      </w:r>
      <w:r w:rsidRPr="00413148">
        <w:rPr>
          <w:rFonts w:eastAsia="Arial"/>
        </w:rPr>
        <w:t>to establish that he suffered from a disability within meaning of ADA did not necessarily vitiate NYCHRL claims).</w:t>
      </w:r>
    </w:p>
    <w:p w14:paraId="3C407703" w14:textId="77777777" w:rsidR="00332FFE" w:rsidRPr="00413148" w:rsidRDefault="00332FFE" w:rsidP="00EA4ED8">
      <w:pPr>
        <w:pStyle w:val="FootnoteText"/>
      </w:pPr>
    </w:p>
  </w:footnote>
  <w:footnote w:id="15">
    <w:p w14:paraId="1022883B" w14:textId="4AA4B0F8" w:rsidR="00F20EB9" w:rsidRPr="00413148" w:rsidRDefault="00F20EB9" w:rsidP="00EB0AA0">
      <w:pPr>
        <w:pStyle w:val="FootnoteText"/>
        <w:ind w:left="0"/>
      </w:pPr>
      <w:r w:rsidRPr="00413148">
        <w:rPr>
          <w:rStyle w:val="FootnoteReference"/>
        </w:rPr>
        <w:footnoteRef/>
      </w:r>
      <w:r w:rsidRPr="00413148">
        <w:t xml:space="preserve"> N.Y.C. Admin. Code § 8-107.</w:t>
      </w:r>
    </w:p>
  </w:footnote>
  <w:footnote w:id="16">
    <w:p w14:paraId="17D1069E" w14:textId="0F95B39D" w:rsidR="00977B94" w:rsidRPr="00413148" w:rsidRDefault="00977B94" w:rsidP="00EB0AA0">
      <w:pPr>
        <w:pStyle w:val="FootnoteText"/>
        <w:ind w:left="0"/>
      </w:pPr>
      <w:r w:rsidRPr="00413148">
        <w:rPr>
          <w:rStyle w:val="FootnoteReference"/>
        </w:rPr>
        <w:footnoteRef/>
      </w:r>
      <w:r w:rsidRPr="00413148">
        <w:t xml:space="preserve"> </w:t>
      </w:r>
      <w:r w:rsidR="003C1B03" w:rsidRPr="00413148">
        <w:rPr>
          <w:i/>
          <w:iCs/>
        </w:rPr>
        <w:t>Id.</w:t>
      </w:r>
      <w:r w:rsidRPr="00413148">
        <w:t xml:space="preserve"> § 8-107(15)(a).</w:t>
      </w:r>
    </w:p>
  </w:footnote>
  <w:footnote w:id="17">
    <w:p w14:paraId="48F7A44E" w14:textId="7D18409C" w:rsidR="00F13D1B" w:rsidRPr="00413148" w:rsidRDefault="00F13D1B" w:rsidP="00EB0AA0">
      <w:pPr>
        <w:pStyle w:val="FootnoteText"/>
        <w:ind w:left="0"/>
      </w:pPr>
      <w:r w:rsidRPr="00413148">
        <w:rPr>
          <w:rStyle w:val="FootnoteReference"/>
        </w:rPr>
        <w:footnoteRef/>
      </w:r>
      <w:r w:rsidRPr="00413148">
        <w:t xml:space="preserve"> </w:t>
      </w:r>
      <w:r w:rsidR="003C1B03" w:rsidRPr="00413148">
        <w:rPr>
          <w:i/>
          <w:iCs/>
        </w:rPr>
        <w:t>Id.</w:t>
      </w:r>
      <w:r w:rsidR="003E4FD6" w:rsidRPr="00413148">
        <w:t xml:space="preserve"> § 8-102</w:t>
      </w:r>
      <w:r w:rsidR="000F680A" w:rsidRPr="00413148">
        <w:t>.</w:t>
      </w:r>
    </w:p>
  </w:footnote>
  <w:footnote w:id="18">
    <w:p w14:paraId="5F67140F" w14:textId="02902078" w:rsidR="00162873" w:rsidRPr="00413148" w:rsidRDefault="00162873" w:rsidP="00EB0AA0">
      <w:pPr>
        <w:pStyle w:val="FootnoteText"/>
        <w:ind w:left="0"/>
      </w:pPr>
      <w:r w:rsidRPr="00413148">
        <w:rPr>
          <w:rStyle w:val="FootnoteReference"/>
        </w:rPr>
        <w:footnoteRef/>
      </w:r>
      <w:r w:rsidRPr="00413148">
        <w:t xml:space="preserve"> </w:t>
      </w:r>
      <w:r w:rsidR="005A3952" w:rsidRPr="00413148">
        <w:rPr>
          <w:i/>
          <w:iCs/>
        </w:rPr>
        <w:t>Id.</w:t>
      </w:r>
      <w:r w:rsidRPr="00413148">
        <w:t xml:space="preserve"> § 8-107(28).</w:t>
      </w:r>
    </w:p>
  </w:footnote>
  <w:footnote w:id="19">
    <w:p w14:paraId="1079677B" w14:textId="77777777" w:rsidR="00162873" w:rsidRPr="00413148" w:rsidRDefault="00162873" w:rsidP="00EB0AA0">
      <w:pPr>
        <w:pStyle w:val="FootnoteText"/>
        <w:ind w:left="0"/>
      </w:pPr>
      <w:r w:rsidRPr="00DE4836">
        <w:rPr>
          <w:rStyle w:val="FootnoteReference"/>
        </w:rPr>
        <w:footnoteRef/>
      </w:r>
      <w:r w:rsidRPr="00413148">
        <w:t xml:space="preserve"> </w:t>
      </w:r>
      <w:r w:rsidRPr="00413148">
        <w:rPr>
          <w:i/>
          <w:iCs/>
        </w:rPr>
        <w:t>Id</w:t>
      </w:r>
      <w:r w:rsidRPr="00413148">
        <w:rPr>
          <w:iCs/>
        </w:rPr>
        <w:t>.</w:t>
      </w:r>
    </w:p>
  </w:footnote>
  <w:footnote w:id="20">
    <w:p w14:paraId="1C839FF8" w14:textId="77777777" w:rsidR="00162873" w:rsidRPr="00413148" w:rsidRDefault="00162873" w:rsidP="00EB0AA0">
      <w:pPr>
        <w:pStyle w:val="FootnoteText"/>
        <w:ind w:left="0"/>
      </w:pPr>
      <w:r w:rsidRPr="00413148">
        <w:rPr>
          <w:rStyle w:val="FootnoteReference"/>
        </w:rPr>
        <w:footnoteRef/>
      </w:r>
      <w:r w:rsidRPr="00413148">
        <w:rPr>
          <w:i/>
          <w:iCs/>
        </w:rPr>
        <w:t xml:space="preserve"> Id</w:t>
      </w:r>
      <w:r w:rsidRPr="00413148">
        <w:rPr>
          <w:iCs/>
        </w:rPr>
        <w:t>.</w:t>
      </w:r>
    </w:p>
  </w:footnote>
  <w:footnote w:id="21">
    <w:p w14:paraId="009CAF1C" w14:textId="77777777" w:rsidR="0005269A" w:rsidRPr="00413148" w:rsidRDefault="0005269A" w:rsidP="00EB0AA0">
      <w:pPr>
        <w:pStyle w:val="FootnoteText"/>
        <w:ind w:left="0"/>
      </w:pPr>
      <w:r w:rsidRPr="00413148">
        <w:rPr>
          <w:rStyle w:val="FootnoteReference"/>
        </w:rPr>
        <w:footnoteRef/>
      </w:r>
      <w:r w:rsidRPr="00413148">
        <w:rPr>
          <w:i/>
          <w:iCs/>
        </w:rPr>
        <w:t xml:space="preserve"> Id</w:t>
      </w:r>
      <w:r w:rsidRPr="00413148">
        <w:rPr>
          <w:iCs/>
        </w:rPr>
        <w:t>.</w:t>
      </w:r>
    </w:p>
  </w:footnote>
  <w:footnote w:id="22">
    <w:p w14:paraId="15F679A0" w14:textId="4B23D7CE" w:rsidR="0005269A" w:rsidRPr="00413148" w:rsidRDefault="0005269A" w:rsidP="00EB0AA0">
      <w:pPr>
        <w:pStyle w:val="FootnoteText"/>
        <w:ind w:left="0"/>
      </w:pPr>
      <w:r w:rsidRPr="00413148">
        <w:rPr>
          <w:rStyle w:val="FootnoteReference"/>
        </w:rPr>
        <w:footnoteRef/>
      </w:r>
      <w:r w:rsidRPr="00413148">
        <w:t xml:space="preserve"> </w:t>
      </w:r>
      <w:r w:rsidR="00D72BBA" w:rsidRPr="00413148">
        <w:rPr>
          <w:i/>
          <w:iCs/>
        </w:rPr>
        <w:t>Id.</w:t>
      </w:r>
      <w:r w:rsidR="00205173" w:rsidRPr="00413148">
        <w:t xml:space="preserve"> § 8-</w:t>
      </w:r>
      <w:r w:rsidR="00813308" w:rsidRPr="00413148">
        <w:t>107(7).</w:t>
      </w:r>
    </w:p>
  </w:footnote>
  <w:footnote w:id="23">
    <w:p w14:paraId="2BA4A84C" w14:textId="77777777" w:rsidR="00660EBD" w:rsidRPr="00413148" w:rsidRDefault="00660EBD" w:rsidP="00EB0AA0">
      <w:pPr>
        <w:pStyle w:val="FootnoteText"/>
        <w:ind w:left="0"/>
      </w:pPr>
      <w:r w:rsidRPr="00413148">
        <w:rPr>
          <w:rStyle w:val="FootnoteReference"/>
        </w:rPr>
        <w:footnoteRef/>
      </w:r>
      <w:r w:rsidRPr="00413148">
        <w:t xml:space="preserve"> </w:t>
      </w:r>
      <w:r w:rsidR="00CF73C9" w:rsidRPr="00413148">
        <w:rPr>
          <w:i/>
        </w:rPr>
        <w:t>Id</w:t>
      </w:r>
      <w:r w:rsidR="00CF73C9" w:rsidRPr="00413148">
        <w:t>.</w:t>
      </w:r>
    </w:p>
  </w:footnote>
  <w:footnote w:id="24">
    <w:p w14:paraId="66D9414A" w14:textId="24E4734B" w:rsidR="00BB17FC" w:rsidRPr="00413148" w:rsidRDefault="00BB17FC" w:rsidP="00EB0AA0">
      <w:pPr>
        <w:pStyle w:val="FootnoteText"/>
        <w:ind w:left="0"/>
      </w:pPr>
      <w:r w:rsidRPr="00413148">
        <w:rPr>
          <w:rStyle w:val="FootnoteReference"/>
        </w:rPr>
        <w:footnoteRef/>
      </w:r>
      <w:r w:rsidRPr="00413148">
        <w:t xml:space="preserve"> </w:t>
      </w:r>
      <w:r w:rsidR="00280C35" w:rsidRPr="00413148">
        <w:rPr>
          <w:i/>
          <w:iCs/>
        </w:rPr>
        <w:t>Id.</w:t>
      </w:r>
      <w:r w:rsidRPr="00413148">
        <w:t xml:space="preserve"> § 8-107(20).</w:t>
      </w:r>
    </w:p>
  </w:footnote>
  <w:footnote w:id="25">
    <w:p w14:paraId="37AA95A1" w14:textId="77777777" w:rsidR="0005269A" w:rsidRPr="00413148" w:rsidRDefault="0005269A" w:rsidP="00EB0AA0">
      <w:pPr>
        <w:pStyle w:val="FootnoteText"/>
        <w:ind w:left="0"/>
      </w:pPr>
      <w:r w:rsidRPr="00413148">
        <w:rPr>
          <w:rStyle w:val="FootnoteReference"/>
        </w:rPr>
        <w:footnoteRef/>
      </w:r>
      <w:r w:rsidRPr="00413148">
        <w:t xml:space="preserve"> </w:t>
      </w:r>
      <w:r w:rsidR="00BB17FC" w:rsidRPr="00413148">
        <w:rPr>
          <w:i/>
        </w:rPr>
        <w:t>Id</w:t>
      </w:r>
      <w:r w:rsidRPr="00413148">
        <w:t>.</w:t>
      </w:r>
    </w:p>
  </w:footnote>
  <w:footnote w:id="26">
    <w:p w14:paraId="263B0646" w14:textId="6B27DBEA" w:rsidR="00426FF6" w:rsidRPr="00413148" w:rsidRDefault="00426FF6" w:rsidP="00EB0AA0">
      <w:pPr>
        <w:pStyle w:val="FootnoteText"/>
        <w:ind w:left="0"/>
      </w:pPr>
      <w:r w:rsidRPr="00413148">
        <w:rPr>
          <w:rStyle w:val="FootnoteReference"/>
        </w:rPr>
        <w:footnoteRef/>
      </w:r>
      <w:r w:rsidRPr="00413148">
        <w:t xml:space="preserve"> </w:t>
      </w:r>
      <w:r w:rsidR="00280C35" w:rsidRPr="00413148">
        <w:rPr>
          <w:i/>
          <w:iCs/>
        </w:rPr>
        <w:t>Id.</w:t>
      </w:r>
      <w:r w:rsidR="00280C35" w:rsidRPr="00413148">
        <w:t xml:space="preserve"> </w:t>
      </w:r>
      <w:r w:rsidRPr="00413148">
        <w:t>§ 8-602.</w:t>
      </w:r>
    </w:p>
  </w:footnote>
  <w:footnote w:id="27">
    <w:p w14:paraId="416C7B87" w14:textId="08AED604" w:rsidR="00224206" w:rsidRPr="00413148" w:rsidRDefault="00224206" w:rsidP="00EB0AA0">
      <w:pPr>
        <w:pStyle w:val="FootnoteText"/>
        <w:ind w:left="0"/>
      </w:pPr>
      <w:r w:rsidRPr="00413148">
        <w:rPr>
          <w:rStyle w:val="FootnoteReference"/>
        </w:rPr>
        <w:footnoteRef/>
      </w:r>
      <w:r w:rsidRPr="00413148">
        <w:t xml:space="preserve"> </w:t>
      </w:r>
      <w:r w:rsidR="00297924" w:rsidRPr="00413148">
        <w:rPr>
          <w:i/>
          <w:iCs/>
        </w:rPr>
        <w:t>Id.</w:t>
      </w:r>
      <w:r w:rsidR="00297924" w:rsidRPr="00413148">
        <w:t xml:space="preserve"> </w:t>
      </w:r>
      <w:r w:rsidR="00F1783E" w:rsidRPr="00413148">
        <w:t>§ 14-151.</w:t>
      </w:r>
    </w:p>
  </w:footnote>
  <w:footnote w:id="28">
    <w:p w14:paraId="79CBCA8C" w14:textId="60EA3FB5" w:rsidR="009A324E" w:rsidRPr="00413148" w:rsidRDefault="009A324E" w:rsidP="00EB0AA0">
      <w:pPr>
        <w:pStyle w:val="FootnoteText"/>
        <w:ind w:left="0"/>
      </w:pPr>
      <w:r w:rsidRPr="00413148">
        <w:rPr>
          <w:rStyle w:val="FootnoteReference"/>
        </w:rPr>
        <w:footnoteRef/>
      </w:r>
      <w:r w:rsidRPr="00413148">
        <w:t xml:space="preserve"> </w:t>
      </w:r>
      <w:r w:rsidR="00297924" w:rsidRPr="00413148">
        <w:rPr>
          <w:i/>
          <w:iCs/>
        </w:rPr>
        <w:t>Id.</w:t>
      </w:r>
      <w:r w:rsidR="008C6281" w:rsidRPr="00413148">
        <w:t xml:space="preserve"> §14-151(d).</w:t>
      </w:r>
    </w:p>
  </w:footnote>
  <w:footnote w:id="29">
    <w:p w14:paraId="1A265B44" w14:textId="159AF47F" w:rsidR="00DC18E7" w:rsidRPr="00413148" w:rsidRDefault="00DC18E7" w:rsidP="00EB0AA0">
      <w:pPr>
        <w:pStyle w:val="FootnoteText"/>
        <w:ind w:left="0"/>
      </w:pPr>
      <w:r w:rsidRPr="00413148">
        <w:rPr>
          <w:rStyle w:val="FootnoteReference"/>
        </w:rPr>
        <w:footnoteRef/>
      </w:r>
      <w:r w:rsidRPr="00413148">
        <w:t xml:space="preserve"> </w:t>
      </w:r>
      <w:r w:rsidR="00FF2B14" w:rsidRPr="00413148">
        <w:rPr>
          <w:i/>
        </w:rPr>
        <w:t>See</w:t>
      </w:r>
      <w:r w:rsidR="00FF2B14" w:rsidRPr="00413148">
        <w:t xml:space="preserve"> </w:t>
      </w:r>
      <w:r w:rsidR="00605CFC" w:rsidRPr="00413148">
        <w:rPr>
          <w:i/>
          <w:iCs/>
        </w:rPr>
        <w:t>id.</w:t>
      </w:r>
      <w:r w:rsidR="00EF4142" w:rsidRPr="00413148">
        <w:t xml:space="preserve"> </w:t>
      </w:r>
      <w:r w:rsidR="00FF2B14" w:rsidRPr="00413148">
        <w:t>§ 8-107(2)</w:t>
      </w:r>
      <w:r w:rsidR="00FD43ED" w:rsidRPr="00413148">
        <w:t>.</w:t>
      </w:r>
      <w:r w:rsidR="00FF2B14" w:rsidRPr="00413148">
        <w:t xml:space="preserve"> </w:t>
      </w:r>
    </w:p>
  </w:footnote>
  <w:footnote w:id="30">
    <w:p w14:paraId="4C8803AA" w14:textId="32FFA276" w:rsidR="00515EBD" w:rsidRPr="00413148" w:rsidRDefault="00515EBD" w:rsidP="00EB0AA0">
      <w:pPr>
        <w:pStyle w:val="FootnoteText"/>
        <w:ind w:left="0"/>
      </w:pPr>
      <w:r w:rsidRPr="00413148">
        <w:rPr>
          <w:rStyle w:val="FootnoteReference"/>
        </w:rPr>
        <w:footnoteRef/>
      </w:r>
      <w:r w:rsidRPr="00413148">
        <w:t xml:space="preserve"> </w:t>
      </w:r>
      <w:r w:rsidR="00AB2CC1" w:rsidRPr="00413148">
        <w:rPr>
          <w:i/>
          <w:iCs/>
        </w:rPr>
        <w:t>Id.</w:t>
      </w:r>
      <w:r w:rsidRPr="00413148">
        <w:t xml:space="preserve"> § 8-107(7).</w:t>
      </w:r>
    </w:p>
  </w:footnote>
  <w:footnote w:id="31">
    <w:p w14:paraId="190160EF" w14:textId="140869C1" w:rsidR="00515EBD" w:rsidRPr="00413148" w:rsidRDefault="00515EBD" w:rsidP="00EB0AA0">
      <w:pPr>
        <w:pStyle w:val="FootnoteText"/>
        <w:ind w:left="0"/>
      </w:pPr>
      <w:r w:rsidRPr="00413148">
        <w:rPr>
          <w:rStyle w:val="FootnoteReference"/>
        </w:rPr>
        <w:footnoteRef/>
      </w:r>
      <w:r w:rsidRPr="00413148">
        <w:t xml:space="preserve"> </w:t>
      </w:r>
      <w:r w:rsidR="00AB2CC1" w:rsidRPr="00413148">
        <w:rPr>
          <w:i/>
          <w:iCs/>
        </w:rPr>
        <w:t>Id.</w:t>
      </w:r>
      <w:r w:rsidRPr="00413148">
        <w:t xml:space="preserve"> § 8-107(20).</w:t>
      </w:r>
    </w:p>
  </w:footnote>
  <w:footnote w:id="32">
    <w:p w14:paraId="64F071EF" w14:textId="21CDBF45" w:rsidR="00515EBD" w:rsidRPr="00413148" w:rsidRDefault="00515EBD" w:rsidP="00EB0AA0">
      <w:pPr>
        <w:pStyle w:val="FootnoteText"/>
        <w:ind w:left="0"/>
      </w:pPr>
      <w:r w:rsidRPr="00413148">
        <w:rPr>
          <w:rStyle w:val="FootnoteReference"/>
        </w:rPr>
        <w:footnoteRef/>
      </w:r>
      <w:r w:rsidRPr="00413148">
        <w:t xml:space="preserve"> </w:t>
      </w:r>
      <w:r w:rsidR="00AB2CC1" w:rsidRPr="00413148">
        <w:rPr>
          <w:i/>
          <w:iCs/>
        </w:rPr>
        <w:t>Id.</w:t>
      </w:r>
      <w:r w:rsidRPr="00413148">
        <w:t xml:space="preserve"> § 8-602.</w:t>
      </w:r>
    </w:p>
  </w:footnote>
  <w:footnote w:id="33">
    <w:p w14:paraId="774FD81B" w14:textId="77777777" w:rsidR="00470A53" w:rsidRPr="00413148" w:rsidRDefault="00470A53" w:rsidP="00EB0AA0">
      <w:pPr>
        <w:pStyle w:val="FootnoteText"/>
        <w:ind w:left="0"/>
      </w:pPr>
      <w:r w:rsidRPr="00413148">
        <w:rPr>
          <w:rStyle w:val="FootnoteReference"/>
        </w:rPr>
        <w:footnoteRef/>
      </w:r>
      <w:r w:rsidRPr="00413148">
        <w:t xml:space="preserve"> </w:t>
      </w:r>
      <w:r w:rsidRPr="00413148">
        <w:rPr>
          <w:i/>
        </w:rPr>
        <w:t>Raytheon Co. v. Hernandez</w:t>
      </w:r>
      <w:r w:rsidRPr="00413148">
        <w:t>, 540 U.S. 44, 52 (2003).</w:t>
      </w:r>
    </w:p>
  </w:footnote>
  <w:footnote w:id="34">
    <w:p w14:paraId="4D226E6E" w14:textId="6D2F8FB5" w:rsidR="00470A53" w:rsidRPr="00413148" w:rsidRDefault="00470A53" w:rsidP="00EB0AA0">
      <w:pPr>
        <w:pStyle w:val="FootnoteText"/>
        <w:ind w:left="0"/>
      </w:pPr>
      <w:r w:rsidRPr="00413148">
        <w:rPr>
          <w:rStyle w:val="FootnoteReference"/>
        </w:rPr>
        <w:footnoteRef/>
      </w:r>
      <w:r w:rsidRPr="00413148">
        <w:t xml:space="preserve"> The NYCHRL also applies in several other contexts</w:t>
      </w:r>
      <w:r w:rsidR="002F63D3" w:rsidRPr="00413148">
        <w:t>,</w:t>
      </w:r>
      <w:r w:rsidRPr="00413148">
        <w:t xml:space="preserve"> such as licensing, real estate, credit, and discriminatory harassment. </w:t>
      </w:r>
      <w:r w:rsidR="00501948" w:rsidRPr="00413148">
        <w:t>N.Y.C. Admin. Code §</w:t>
      </w:r>
      <w:r w:rsidR="00752278" w:rsidRPr="00413148">
        <w:t>§</w:t>
      </w:r>
      <w:r w:rsidR="00501948" w:rsidRPr="00413148">
        <w:t xml:space="preserve"> 8-</w:t>
      </w:r>
      <w:r w:rsidR="00752278" w:rsidRPr="00413148">
        <w:t>107</w:t>
      </w:r>
      <w:r w:rsidR="006F7AA1" w:rsidRPr="00413148">
        <w:t>(5)</w:t>
      </w:r>
      <w:r w:rsidR="0050218A" w:rsidRPr="00413148">
        <w:t>(b)</w:t>
      </w:r>
      <w:r w:rsidR="007C467A" w:rsidRPr="00413148">
        <w:t>-(e)</w:t>
      </w:r>
      <w:r w:rsidR="00720128" w:rsidRPr="00413148">
        <w:t>, 8-107(9)</w:t>
      </w:r>
      <w:r w:rsidR="006F7AA1" w:rsidRPr="00413148">
        <w:t>,</w:t>
      </w:r>
      <w:r w:rsidR="007C467A" w:rsidRPr="00413148">
        <w:t xml:space="preserve"> 8-602.</w:t>
      </w:r>
      <w:r w:rsidR="006F7AA1" w:rsidRPr="00413148">
        <w:t xml:space="preserve"> </w:t>
      </w:r>
    </w:p>
  </w:footnote>
  <w:footnote w:id="35">
    <w:p w14:paraId="3CF35E15" w14:textId="2806C2AC" w:rsidR="00D94EC2" w:rsidRPr="00413148" w:rsidRDefault="00D94EC2" w:rsidP="00EB0AA0">
      <w:pPr>
        <w:pStyle w:val="FootnoteText"/>
        <w:ind w:left="0"/>
      </w:pPr>
      <w:r w:rsidRPr="00413148">
        <w:rPr>
          <w:rStyle w:val="FootnoteReference"/>
        </w:rPr>
        <w:footnoteRef/>
      </w:r>
      <w:r w:rsidRPr="00413148">
        <w:t xml:space="preserve"> Examples of direct evidence could include explicit statements by a covered entity that an adverse action was based on a protected status or explicitly discriminatory policies. </w:t>
      </w:r>
      <w:r w:rsidRPr="00413148">
        <w:rPr>
          <w:i/>
          <w:iCs/>
        </w:rPr>
        <w:t>See In re Comm’n on Human Rights ex rel. Stamm v. E&amp;E Bagels,</w:t>
      </w:r>
      <w:r w:rsidRPr="00413148">
        <w:t xml:space="preserve"> OATH Index No. 803/14, </w:t>
      </w:r>
      <w:r w:rsidR="001A604A" w:rsidRPr="00413148">
        <w:t xml:space="preserve">Comm’n </w:t>
      </w:r>
      <w:r w:rsidRPr="00413148">
        <w:t>Dec. &amp; Order, 2016 WL 1644879, at *4 (Apr. 21, 2016).</w:t>
      </w:r>
    </w:p>
  </w:footnote>
  <w:footnote w:id="36">
    <w:p w14:paraId="5F6D2996" w14:textId="49A3AD7D" w:rsidR="00D94EC2" w:rsidRPr="00413148" w:rsidRDefault="00D94EC2" w:rsidP="00EB0AA0">
      <w:pPr>
        <w:pStyle w:val="FootnoteText"/>
        <w:ind w:left="0"/>
      </w:pPr>
      <w:r w:rsidRPr="00413148">
        <w:rPr>
          <w:rStyle w:val="FootnoteReference"/>
        </w:rPr>
        <w:footnoteRef/>
      </w:r>
      <w:r w:rsidRPr="00413148">
        <w:t xml:space="preserve"> </w:t>
      </w:r>
      <w:r w:rsidRPr="00413148">
        <w:rPr>
          <w:i/>
          <w:iCs/>
        </w:rPr>
        <w:t>See</w:t>
      </w:r>
      <w:r w:rsidRPr="00413148">
        <w:t xml:space="preserve"> </w:t>
      </w:r>
      <w:r w:rsidRPr="00413148">
        <w:rPr>
          <w:i/>
          <w:iCs/>
        </w:rPr>
        <w:t>Bennett v. Health Mgmt. Sys., Inc.</w:t>
      </w:r>
      <w:r w:rsidRPr="00413148">
        <w:t xml:space="preserve">, 92 A.D.3d 29, 40-41 (1st </w:t>
      </w:r>
      <w:proofErr w:type="spellStart"/>
      <w:r w:rsidRPr="00413148">
        <w:t>Dep’t</w:t>
      </w:r>
      <w:proofErr w:type="spellEnd"/>
      <w:r w:rsidRPr="00413148">
        <w:t xml:space="preserve"> 2011) (</w:t>
      </w:r>
      <w:r w:rsidRPr="00413148">
        <w:rPr>
          <w:rStyle w:val="cf01"/>
          <w:rFonts w:ascii="Arial" w:eastAsiaTheme="majorEastAsia" w:hAnsi="Arial" w:cs="Arial"/>
          <w:sz w:val="32"/>
          <w:szCs w:val="32"/>
        </w:rPr>
        <w:t xml:space="preserve">describing several </w:t>
      </w:r>
      <w:r w:rsidR="005618CA" w:rsidRPr="00413148">
        <w:rPr>
          <w:rStyle w:val="cf01"/>
          <w:rFonts w:ascii="Arial" w:eastAsiaTheme="majorEastAsia" w:hAnsi="Arial" w:cs="Arial"/>
          <w:sz w:val="32"/>
          <w:szCs w:val="32"/>
        </w:rPr>
        <w:t xml:space="preserve">ways </w:t>
      </w:r>
      <w:r w:rsidR="00D059AE" w:rsidRPr="00413148">
        <w:rPr>
          <w:rStyle w:val="cf01"/>
          <w:rFonts w:ascii="Arial" w:eastAsiaTheme="majorEastAsia" w:hAnsi="Arial" w:cs="Arial"/>
          <w:sz w:val="32"/>
          <w:szCs w:val="32"/>
        </w:rPr>
        <w:t xml:space="preserve">that </w:t>
      </w:r>
      <w:r w:rsidR="005618CA" w:rsidRPr="00413148">
        <w:rPr>
          <w:rStyle w:val="cf01"/>
          <w:rFonts w:ascii="Arial" w:eastAsiaTheme="majorEastAsia" w:hAnsi="Arial" w:cs="Arial"/>
          <w:sz w:val="32"/>
          <w:szCs w:val="32"/>
        </w:rPr>
        <w:t>a</w:t>
      </w:r>
      <w:r w:rsidR="00CA3101" w:rsidRPr="00413148">
        <w:rPr>
          <w:rStyle w:val="cf01"/>
          <w:rFonts w:ascii="Arial" w:eastAsiaTheme="majorEastAsia" w:hAnsi="Arial" w:cs="Arial"/>
          <w:sz w:val="32"/>
          <w:szCs w:val="32"/>
        </w:rPr>
        <w:t xml:space="preserve"> </w:t>
      </w:r>
      <w:r w:rsidR="005A03FD" w:rsidRPr="00413148">
        <w:rPr>
          <w:rStyle w:val="cf01"/>
          <w:rFonts w:ascii="Arial" w:eastAsiaTheme="majorEastAsia" w:hAnsi="Arial" w:cs="Arial"/>
          <w:sz w:val="32"/>
          <w:szCs w:val="32"/>
        </w:rPr>
        <w:t xml:space="preserve">plaintiff </w:t>
      </w:r>
      <w:r w:rsidR="005618CA" w:rsidRPr="00413148">
        <w:rPr>
          <w:rStyle w:val="cf01"/>
          <w:rFonts w:ascii="Arial" w:eastAsiaTheme="majorEastAsia" w:hAnsi="Arial" w:cs="Arial"/>
          <w:sz w:val="32"/>
          <w:szCs w:val="32"/>
        </w:rPr>
        <w:t>could respond</w:t>
      </w:r>
      <w:r w:rsidR="00CA3101" w:rsidRPr="00413148">
        <w:rPr>
          <w:rStyle w:val="cf01"/>
          <w:rFonts w:ascii="Arial" w:eastAsiaTheme="majorEastAsia" w:hAnsi="Arial" w:cs="Arial"/>
          <w:sz w:val="32"/>
          <w:szCs w:val="32"/>
        </w:rPr>
        <w:t xml:space="preserve"> to </w:t>
      </w:r>
      <w:r w:rsidR="005A03FD" w:rsidRPr="00413148">
        <w:rPr>
          <w:rStyle w:val="cf01"/>
          <w:rFonts w:ascii="Arial" w:eastAsiaTheme="majorEastAsia" w:hAnsi="Arial" w:cs="Arial"/>
          <w:sz w:val="32"/>
          <w:szCs w:val="32"/>
        </w:rPr>
        <w:t>a defendant’s showing</w:t>
      </w:r>
      <w:r w:rsidR="00757E07" w:rsidRPr="00413148">
        <w:rPr>
          <w:rStyle w:val="cf01"/>
          <w:rFonts w:ascii="Arial" w:eastAsiaTheme="majorEastAsia" w:hAnsi="Arial" w:cs="Arial"/>
          <w:sz w:val="32"/>
          <w:szCs w:val="32"/>
        </w:rPr>
        <w:t xml:space="preserve"> of non-discriminatory reasons for its action</w:t>
      </w:r>
      <w:r w:rsidR="00D059AE" w:rsidRPr="00413148">
        <w:rPr>
          <w:rStyle w:val="cf01"/>
          <w:rFonts w:ascii="Arial" w:eastAsiaTheme="majorEastAsia" w:hAnsi="Arial" w:cs="Arial"/>
          <w:sz w:val="32"/>
          <w:szCs w:val="32"/>
        </w:rPr>
        <w:t>s</w:t>
      </w:r>
      <w:r w:rsidRPr="00413148">
        <w:rPr>
          <w:rStyle w:val="cf01"/>
          <w:rFonts w:ascii="Arial" w:eastAsiaTheme="majorEastAsia" w:hAnsi="Arial" w:cs="Arial"/>
          <w:sz w:val="32"/>
          <w:szCs w:val="32"/>
        </w:rPr>
        <w:t xml:space="preserve">, including </w:t>
      </w:r>
      <w:r w:rsidR="0030011A" w:rsidRPr="00413148">
        <w:rPr>
          <w:rStyle w:val="cf01"/>
          <w:rFonts w:ascii="Arial" w:eastAsiaTheme="majorEastAsia" w:hAnsi="Arial" w:cs="Arial"/>
          <w:sz w:val="32"/>
          <w:szCs w:val="32"/>
        </w:rPr>
        <w:t xml:space="preserve">by </w:t>
      </w:r>
      <w:r w:rsidRPr="00413148">
        <w:rPr>
          <w:rStyle w:val="cf01"/>
          <w:rFonts w:ascii="Arial" w:eastAsiaTheme="majorEastAsia" w:hAnsi="Arial" w:cs="Arial"/>
          <w:sz w:val="32"/>
          <w:szCs w:val="32"/>
        </w:rPr>
        <w:t xml:space="preserve">showing “pretext and independent evidence of the existence of an improper discriminatory motive” </w:t>
      </w:r>
      <w:r w:rsidR="0030011A" w:rsidRPr="00413148">
        <w:rPr>
          <w:rStyle w:val="cf01"/>
          <w:rFonts w:ascii="Arial" w:eastAsiaTheme="majorEastAsia" w:hAnsi="Arial" w:cs="Arial"/>
          <w:sz w:val="32"/>
          <w:szCs w:val="32"/>
        </w:rPr>
        <w:t xml:space="preserve">or </w:t>
      </w:r>
      <w:r w:rsidRPr="00413148">
        <w:rPr>
          <w:rStyle w:val="cf01"/>
          <w:rFonts w:ascii="Arial" w:eastAsiaTheme="majorEastAsia" w:hAnsi="Arial" w:cs="Arial"/>
          <w:sz w:val="32"/>
          <w:szCs w:val="32"/>
        </w:rPr>
        <w:t xml:space="preserve">that </w:t>
      </w:r>
      <w:r w:rsidR="0030011A" w:rsidRPr="00413148">
        <w:rPr>
          <w:rStyle w:val="cf01"/>
          <w:rFonts w:ascii="Arial" w:eastAsiaTheme="majorEastAsia" w:hAnsi="Arial" w:cs="Arial"/>
          <w:sz w:val="32"/>
          <w:szCs w:val="32"/>
        </w:rPr>
        <w:t>“</w:t>
      </w:r>
      <w:r w:rsidRPr="00413148">
        <w:rPr>
          <w:rStyle w:val="cf01"/>
          <w:rFonts w:ascii="Arial" w:eastAsiaTheme="majorEastAsia" w:hAnsi="Arial" w:cs="Arial"/>
          <w:sz w:val="32"/>
          <w:szCs w:val="32"/>
        </w:rPr>
        <w:t>discrimination was just one of the motivations for the conduct</w:t>
      </w:r>
      <w:r w:rsidRPr="00413148">
        <w:t>”</w:t>
      </w:r>
      <w:r w:rsidR="00D059AE" w:rsidRPr="00413148">
        <w:t xml:space="preserve"> while using direct or circumstantial evidence</w:t>
      </w:r>
      <w:r w:rsidRPr="00413148">
        <w:t>).</w:t>
      </w:r>
    </w:p>
  </w:footnote>
  <w:footnote w:id="37">
    <w:p w14:paraId="79E15726" w14:textId="0A87A7E7" w:rsidR="00470A53" w:rsidRPr="00413148" w:rsidRDefault="00470A53" w:rsidP="00EB0AA0">
      <w:pPr>
        <w:pStyle w:val="FootnoteText"/>
        <w:ind w:left="0"/>
      </w:pPr>
      <w:r w:rsidRPr="00413148">
        <w:rPr>
          <w:rStyle w:val="FootnoteReference"/>
        </w:rPr>
        <w:footnoteRef/>
      </w:r>
      <w:r w:rsidRPr="00413148">
        <w:t xml:space="preserve"> </w:t>
      </w:r>
      <w:r w:rsidR="006F55E8" w:rsidRPr="00413148">
        <w:rPr>
          <w:i/>
        </w:rPr>
        <w:t>See</w:t>
      </w:r>
      <w:r w:rsidR="00340CCF" w:rsidRPr="00413148">
        <w:t xml:space="preserve"> </w:t>
      </w:r>
      <w:r w:rsidRPr="00413148">
        <w:rPr>
          <w:i/>
        </w:rPr>
        <w:t>Goffe v. NYU Hosp. Ctr.</w:t>
      </w:r>
      <w:r w:rsidRPr="00413148">
        <w:t>, 201 F. Supp. 3d 337, 351 (E.D.N.Y. 2016) (</w:t>
      </w:r>
      <w:r w:rsidR="00E871B9" w:rsidRPr="00413148">
        <w:t xml:space="preserve">stating that </w:t>
      </w:r>
      <w:r w:rsidRPr="00413148">
        <w:t>“the federal severe or pervasive standard of liability no longer applies to NYCHRL claims, and the severity or pervasiveness of conduct is relevant only to the scope of damages…”)</w:t>
      </w:r>
      <w:r w:rsidR="00340CCF" w:rsidRPr="00413148">
        <w:t xml:space="preserve">; </w:t>
      </w:r>
      <w:r w:rsidR="00340CCF" w:rsidRPr="00413148">
        <w:rPr>
          <w:i/>
          <w:iCs/>
        </w:rPr>
        <w:t>Fernandez v. Wenig Saltiel LLP</w:t>
      </w:r>
      <w:r w:rsidR="00340CCF" w:rsidRPr="00413148">
        <w:t xml:space="preserve">, </w:t>
      </w:r>
      <w:r w:rsidR="00BD1B11" w:rsidRPr="00413148">
        <w:t>No. 19-CV-1979</w:t>
      </w:r>
      <w:r w:rsidR="00A26E33" w:rsidRPr="00413148">
        <w:t xml:space="preserve"> (AMD) (MMH), </w:t>
      </w:r>
      <w:r w:rsidR="00340CCF" w:rsidRPr="00413148">
        <w:t>2024 WL</w:t>
      </w:r>
      <w:r w:rsidR="00344DEF" w:rsidRPr="00413148">
        <w:t xml:space="preserve"> 1345645,</w:t>
      </w:r>
      <w:r w:rsidR="00F0478D" w:rsidRPr="00413148">
        <w:t xml:space="preserve"> at</w:t>
      </w:r>
      <w:r w:rsidR="00344DEF" w:rsidRPr="00413148">
        <w:t xml:space="preserve"> *15-16 (E.D.N.Y</w:t>
      </w:r>
      <w:r w:rsidR="00F0478D" w:rsidRPr="00413148">
        <w:t>.</w:t>
      </w:r>
      <w:r w:rsidR="00344DEF" w:rsidRPr="00413148">
        <w:t xml:space="preserve"> </w:t>
      </w:r>
      <w:r w:rsidR="00BD1B11" w:rsidRPr="00413148">
        <w:t xml:space="preserve">Mar. 29, </w:t>
      </w:r>
      <w:r w:rsidR="00344DEF" w:rsidRPr="00413148">
        <w:t>2024) (“</w:t>
      </w:r>
      <w:r w:rsidR="00D119E9" w:rsidRPr="00413148">
        <w:t>The NYCHRL imposes liability for hostile conduct even where the conduct does not rise</w:t>
      </w:r>
      <w:r w:rsidR="004E3DA8" w:rsidRPr="00413148">
        <w:t xml:space="preserve"> to the level of severe or pervasive, as questions of severity or pervasiveness are applicable to the consideration of the scope of permissible damages, but not to the question of underlying liability</w:t>
      </w:r>
      <w:r w:rsidRPr="00413148">
        <w:t>.</w:t>
      </w:r>
      <w:r w:rsidR="00A46CF3" w:rsidRPr="00413148">
        <w:t>”</w:t>
      </w:r>
      <w:r w:rsidR="005F3F4C" w:rsidRPr="00413148">
        <w:t>)</w:t>
      </w:r>
    </w:p>
  </w:footnote>
  <w:footnote w:id="38">
    <w:p w14:paraId="54D95014" w14:textId="5B01ACC4" w:rsidR="00470A53" w:rsidRPr="00413148" w:rsidRDefault="00470A53" w:rsidP="00EB0AA0">
      <w:pPr>
        <w:pStyle w:val="FootnoteText"/>
        <w:ind w:left="0"/>
      </w:pPr>
      <w:r w:rsidRPr="00413148">
        <w:rPr>
          <w:rStyle w:val="FootnoteReference"/>
        </w:rPr>
        <w:footnoteRef/>
      </w:r>
      <w:r w:rsidRPr="00413148">
        <w:t xml:space="preserve"> </w:t>
      </w:r>
      <w:r w:rsidRPr="00413148">
        <w:rPr>
          <w:i/>
        </w:rPr>
        <w:t xml:space="preserve">See </w:t>
      </w:r>
      <w:r w:rsidRPr="00413148">
        <w:t>U.S. Equal Emp</w:t>
      </w:r>
      <w:r w:rsidR="000D1E88" w:rsidRPr="00413148">
        <w:t>’</w:t>
      </w:r>
      <w:r w:rsidR="00607183" w:rsidRPr="00413148">
        <w:t>t</w:t>
      </w:r>
      <w:r w:rsidRPr="00413148">
        <w:t xml:space="preserve"> Opportunity Comm’n, Enforcement Guidance: Disability-Related Inquiries and Medical Examinations of Employees Under the Americans </w:t>
      </w:r>
      <w:proofErr w:type="gramStart"/>
      <w:r w:rsidRPr="00413148">
        <w:t>With</w:t>
      </w:r>
      <w:proofErr w:type="gramEnd"/>
      <w:r w:rsidRPr="00413148">
        <w:t xml:space="preserve"> Disabilities Act (ADA) (July 27, 2000), https://www.eeoc.gov/policy/docs/guidance-inquiries.html#9.</w:t>
      </w:r>
    </w:p>
  </w:footnote>
  <w:footnote w:id="39">
    <w:p w14:paraId="2FE1F219" w14:textId="77777777" w:rsidR="00D776C2" w:rsidRPr="00413148" w:rsidRDefault="00D776C2" w:rsidP="00166DFD">
      <w:pPr>
        <w:pStyle w:val="FootnoteText"/>
        <w:ind w:left="0"/>
      </w:pPr>
      <w:r w:rsidRPr="00413148">
        <w:rPr>
          <w:rStyle w:val="FootnoteReference"/>
        </w:rPr>
        <w:footnoteRef/>
      </w:r>
      <w:r w:rsidRPr="00413148">
        <w:t xml:space="preserve"> N.Y.C. Admin. Code § 8-107(17)(2).</w:t>
      </w:r>
    </w:p>
  </w:footnote>
  <w:footnote w:id="40">
    <w:p w14:paraId="0A1172F7" w14:textId="77777777" w:rsidR="00D776C2" w:rsidRPr="00413148" w:rsidRDefault="00D776C2" w:rsidP="00166DFD">
      <w:pPr>
        <w:pStyle w:val="FootnoteText"/>
        <w:ind w:left="0"/>
      </w:pPr>
      <w:r w:rsidRPr="00413148">
        <w:rPr>
          <w:rStyle w:val="FootnoteReference"/>
        </w:rPr>
        <w:footnoteRef/>
      </w:r>
      <w:r w:rsidRPr="00413148">
        <w:t xml:space="preserve"> </w:t>
      </w:r>
      <w:r w:rsidRPr="00413148">
        <w:rPr>
          <w:i/>
        </w:rPr>
        <w:t>Raytheon Co. v. Hernandez</w:t>
      </w:r>
      <w:r w:rsidRPr="00413148">
        <w:t>, 540 U.S. 44, 52–53 (2003).</w:t>
      </w:r>
    </w:p>
  </w:footnote>
  <w:footnote w:id="41">
    <w:p w14:paraId="5A7424F4" w14:textId="77777777" w:rsidR="00D776C2" w:rsidRPr="00413148" w:rsidRDefault="00D776C2" w:rsidP="00166DFD">
      <w:pPr>
        <w:pStyle w:val="FootnoteText"/>
        <w:ind w:left="0"/>
      </w:pPr>
      <w:r w:rsidRPr="00413148">
        <w:rPr>
          <w:rStyle w:val="FootnoteReference"/>
        </w:rPr>
        <w:footnoteRef/>
      </w:r>
      <w:r w:rsidRPr="00413148">
        <w:t xml:space="preserve"> N.Y.C. Admin. Code §8-107(17);</w:t>
      </w:r>
      <w:r w:rsidR="00EE7C2E" w:rsidRPr="00413148">
        <w:t xml:space="preserve"> </w:t>
      </w:r>
      <w:r w:rsidR="00EE7C2E" w:rsidRPr="00413148">
        <w:rPr>
          <w:i/>
        </w:rPr>
        <w:t>see also</w:t>
      </w:r>
      <w:r w:rsidRPr="00413148">
        <w:t xml:space="preserve"> </w:t>
      </w:r>
      <w:r w:rsidRPr="00413148">
        <w:rPr>
          <w:i/>
          <w:iCs/>
        </w:rPr>
        <w:t>Levin v. Yeshiva Univ.</w:t>
      </w:r>
      <w:r w:rsidRPr="00413148">
        <w:t>, 96 N.Y.2d 484, 492–93 (2001).</w:t>
      </w:r>
    </w:p>
  </w:footnote>
  <w:footnote w:id="42">
    <w:p w14:paraId="34BA7976" w14:textId="6B60DCD4" w:rsidR="00D776C2" w:rsidRPr="00413148" w:rsidRDefault="00D776C2" w:rsidP="00D776C2">
      <w:pPr>
        <w:spacing w:after="120" w:line="40" w:lineRule="atLeast"/>
        <w:rPr>
          <w:rFonts w:ascii="Verdana" w:hAnsi="Verdana"/>
          <w:sz w:val="24"/>
        </w:rPr>
      </w:pPr>
      <w:r w:rsidRPr="00413148">
        <w:rPr>
          <w:rStyle w:val="FootnoteReference"/>
          <w:rFonts w:cs="Arial"/>
          <w:szCs w:val="32"/>
        </w:rPr>
        <w:footnoteRef/>
      </w:r>
      <w:r w:rsidRPr="00413148">
        <w:rPr>
          <w:rFonts w:ascii="Verdana" w:hAnsi="Verdana"/>
          <w:sz w:val="24"/>
        </w:rPr>
        <w:t xml:space="preserve"> </w:t>
      </w:r>
      <w:r w:rsidRPr="00413148">
        <w:rPr>
          <w:i/>
        </w:rPr>
        <w:t xml:space="preserve">Teasdale v. N.Y.C. Fire </w:t>
      </w:r>
      <w:proofErr w:type="spellStart"/>
      <w:r w:rsidRPr="00413148">
        <w:rPr>
          <w:i/>
        </w:rPr>
        <w:t>Dep't</w:t>
      </w:r>
      <w:proofErr w:type="spellEnd"/>
      <w:r w:rsidRPr="00413148">
        <w:rPr>
          <w:i/>
        </w:rPr>
        <w:t>, FDNY</w:t>
      </w:r>
      <w:r w:rsidRPr="00413148">
        <w:rPr>
          <w:iCs/>
        </w:rPr>
        <w:t>,</w:t>
      </w:r>
      <w:r w:rsidRPr="00413148">
        <w:rPr>
          <w:i/>
        </w:rPr>
        <w:t xml:space="preserve"> </w:t>
      </w:r>
      <w:r w:rsidRPr="00413148">
        <w:t xml:space="preserve">574 F. </w:t>
      </w:r>
      <w:proofErr w:type="spellStart"/>
      <w:r w:rsidRPr="00413148">
        <w:t>App’x</w:t>
      </w:r>
      <w:proofErr w:type="spellEnd"/>
      <w:r w:rsidRPr="00413148">
        <w:t xml:space="preserve"> 50, 52 (2d Cir. 2014)</w:t>
      </w:r>
      <w:r w:rsidR="00D674FB" w:rsidRPr="00413148">
        <w:t xml:space="preserve"> </w:t>
      </w:r>
      <w:r w:rsidR="00F76E99" w:rsidRPr="00413148">
        <w:t>(</w:t>
      </w:r>
      <w:r w:rsidR="00B10178" w:rsidRPr="00413148">
        <w:t>s</w:t>
      </w:r>
      <w:r w:rsidR="00210171" w:rsidRPr="00413148">
        <w:t xml:space="preserve">ummary </w:t>
      </w:r>
      <w:r w:rsidR="00B10178" w:rsidRPr="00413148">
        <w:t>o</w:t>
      </w:r>
      <w:r w:rsidR="00210171" w:rsidRPr="00413148">
        <w:t>rder)</w:t>
      </w:r>
      <w:r w:rsidR="00B36B8D" w:rsidRPr="00413148">
        <w:t>;</w:t>
      </w:r>
      <w:r w:rsidR="00B36B8D" w:rsidRPr="00413148">
        <w:rPr>
          <w:i/>
        </w:rPr>
        <w:t xml:space="preserve"> see also </w:t>
      </w:r>
      <w:r w:rsidR="00AF0ECA" w:rsidRPr="00413148">
        <w:rPr>
          <w:i/>
        </w:rPr>
        <w:t>Gittens-Bridges</w:t>
      </w:r>
      <w:r w:rsidR="00BC0984" w:rsidRPr="00413148">
        <w:rPr>
          <w:i/>
        </w:rPr>
        <w:t xml:space="preserve"> v. City of New York</w:t>
      </w:r>
      <w:r w:rsidR="00BC0984" w:rsidRPr="00413148">
        <w:t xml:space="preserve">, </w:t>
      </w:r>
      <w:r w:rsidR="00170634" w:rsidRPr="00413148">
        <w:t xml:space="preserve">No. 19 Civ. 272 (ER), </w:t>
      </w:r>
      <w:r w:rsidR="0094291E" w:rsidRPr="00413148">
        <w:t>20</w:t>
      </w:r>
      <w:r w:rsidR="001944EC" w:rsidRPr="00413148">
        <w:rPr>
          <w:iCs/>
        </w:rPr>
        <w:t>22</w:t>
      </w:r>
      <w:r w:rsidR="0094291E" w:rsidRPr="00413148">
        <w:t xml:space="preserve"> WL </w:t>
      </w:r>
      <w:r w:rsidR="00425ADF" w:rsidRPr="00413148">
        <w:rPr>
          <w:iCs/>
        </w:rPr>
        <w:t>954462</w:t>
      </w:r>
      <w:r w:rsidR="00806038" w:rsidRPr="00413148">
        <w:t xml:space="preserve">, </w:t>
      </w:r>
      <w:r w:rsidR="00502720" w:rsidRPr="00413148">
        <w:t xml:space="preserve">at </w:t>
      </w:r>
      <w:r w:rsidR="00D605E8" w:rsidRPr="00413148">
        <w:t>*</w:t>
      </w:r>
      <w:r w:rsidR="001944EC" w:rsidRPr="00413148">
        <w:rPr>
          <w:iCs/>
        </w:rPr>
        <w:t>16</w:t>
      </w:r>
      <w:r w:rsidR="00D605E8" w:rsidRPr="00413148">
        <w:t xml:space="preserve"> (S.D.N.Y</w:t>
      </w:r>
      <w:r w:rsidR="00170634" w:rsidRPr="00413148">
        <w:t>. Mar. 30,</w:t>
      </w:r>
      <w:r w:rsidR="00D605E8" w:rsidRPr="00413148">
        <w:t xml:space="preserve"> 2024)</w:t>
      </w:r>
      <w:r w:rsidRPr="00413148">
        <w:rPr>
          <w:i/>
        </w:rPr>
        <w:t>.</w:t>
      </w:r>
    </w:p>
  </w:footnote>
  <w:footnote w:id="43">
    <w:p w14:paraId="70D26F05" w14:textId="2C6AFC55" w:rsidR="00D776C2" w:rsidRPr="00413148" w:rsidRDefault="00D776C2" w:rsidP="00166DFD">
      <w:pPr>
        <w:pStyle w:val="FootnoteText"/>
        <w:ind w:left="0"/>
      </w:pPr>
      <w:r w:rsidRPr="00413148">
        <w:rPr>
          <w:rStyle w:val="FootnoteReference"/>
        </w:rPr>
        <w:footnoteRef/>
      </w:r>
      <w:r w:rsidRPr="00413148">
        <w:t xml:space="preserve"> N.Y.C. Admin. Code § 8-107(17)(1); </w:t>
      </w:r>
      <w:r w:rsidRPr="00413148">
        <w:rPr>
          <w:i/>
        </w:rPr>
        <w:t xml:space="preserve">see </w:t>
      </w:r>
      <w:r w:rsidR="002928DB" w:rsidRPr="00413148">
        <w:rPr>
          <w:i/>
        </w:rPr>
        <w:t>also id.</w:t>
      </w:r>
      <w:r w:rsidR="00811625" w:rsidRPr="00413148">
        <w:rPr>
          <w:i/>
        </w:rPr>
        <w:t xml:space="preserve"> </w:t>
      </w:r>
      <w:r w:rsidRPr="00413148">
        <w:t xml:space="preserve">§ 8-107(17)(2)(b) (“The mere existence of a statistical imbalance between a covered entity’s challenged demographic composition and the general population is not alone sufficient to establish a </w:t>
      </w:r>
      <w:r w:rsidRPr="00413148">
        <w:rPr>
          <w:i/>
        </w:rPr>
        <w:t xml:space="preserve">prima facie </w:t>
      </w:r>
      <w:r w:rsidRPr="00413148">
        <w:t>case of disparate impact violation, unless the general population is shown to be the relevant pool for comparison, the imbalance is shown to be statistically significant, and there is an identifiable policy or practice, or group of policies or practices, that allegedly causes the imbalance.”).</w:t>
      </w:r>
    </w:p>
  </w:footnote>
  <w:footnote w:id="44">
    <w:p w14:paraId="53F9F3C6" w14:textId="3B6F26A8" w:rsidR="00D776C2" w:rsidRPr="00413148" w:rsidRDefault="00D776C2" w:rsidP="00166DFD">
      <w:pPr>
        <w:pStyle w:val="FootnoteText"/>
        <w:ind w:left="0"/>
        <w:rPr>
          <w:i/>
        </w:rPr>
      </w:pPr>
      <w:r w:rsidRPr="00413148">
        <w:rPr>
          <w:rStyle w:val="FootnoteReference"/>
        </w:rPr>
        <w:footnoteRef/>
      </w:r>
      <w:r w:rsidRPr="00413148">
        <w:t xml:space="preserve"> </w:t>
      </w:r>
      <w:r w:rsidR="00316191" w:rsidRPr="00413148">
        <w:rPr>
          <w:i/>
          <w:iCs/>
        </w:rPr>
        <w:t>Id.</w:t>
      </w:r>
      <w:r w:rsidRPr="00413148">
        <w:t xml:space="preserve"> § 8-107(17)(2</w:t>
      </w:r>
      <w:r w:rsidRPr="00413148" w:rsidDel="00E16249">
        <w:t>)</w:t>
      </w:r>
      <w:r w:rsidRPr="00413148">
        <w:t>.</w:t>
      </w:r>
    </w:p>
  </w:footnote>
  <w:footnote w:id="45">
    <w:p w14:paraId="3709CE91" w14:textId="77777777" w:rsidR="00D776C2" w:rsidRPr="00413148" w:rsidRDefault="00D776C2" w:rsidP="00166DFD">
      <w:pPr>
        <w:pStyle w:val="FootnoteText"/>
        <w:ind w:left="0"/>
      </w:pPr>
      <w:r w:rsidRPr="00413148">
        <w:rPr>
          <w:rStyle w:val="FootnoteReference"/>
        </w:rPr>
        <w:footnoteRef/>
      </w:r>
      <w:r w:rsidRPr="00413148">
        <w:t xml:space="preserve"> </w:t>
      </w:r>
      <w:r w:rsidRPr="00413148">
        <w:rPr>
          <w:i/>
          <w:iCs/>
        </w:rPr>
        <w:t>Id</w:t>
      </w:r>
      <w:r w:rsidRPr="00413148">
        <w:t>.</w:t>
      </w:r>
    </w:p>
  </w:footnote>
  <w:footnote w:id="46">
    <w:p w14:paraId="0E467023" w14:textId="77777777" w:rsidR="00D776C2" w:rsidRPr="00413148" w:rsidRDefault="00D776C2" w:rsidP="00D776C2">
      <w:pPr>
        <w:spacing w:after="120" w:line="40" w:lineRule="atLeast"/>
        <w:rPr>
          <w:rFonts w:ascii="Verdana" w:hAnsi="Verdana"/>
          <w:sz w:val="24"/>
        </w:rPr>
      </w:pPr>
      <w:r w:rsidRPr="00413148">
        <w:rPr>
          <w:rStyle w:val="FootnoteReference"/>
          <w:rFonts w:cs="Arial"/>
          <w:szCs w:val="32"/>
        </w:rPr>
        <w:footnoteRef/>
      </w:r>
      <w:r w:rsidRPr="00413148">
        <w:rPr>
          <w:rFonts w:ascii="Verdana" w:hAnsi="Verdana"/>
          <w:sz w:val="24"/>
        </w:rPr>
        <w:t xml:space="preserve"> </w:t>
      </w:r>
      <w:r w:rsidRPr="00413148">
        <w:rPr>
          <w:i/>
        </w:rPr>
        <w:t>Id.</w:t>
      </w:r>
    </w:p>
  </w:footnote>
  <w:footnote w:id="47">
    <w:p w14:paraId="3F48B1ED" w14:textId="2A6D1BCE" w:rsidR="00E26D37" w:rsidRPr="00413148" w:rsidRDefault="00E26D37" w:rsidP="00166DFD">
      <w:pPr>
        <w:pStyle w:val="FootnoteText"/>
        <w:ind w:left="0"/>
      </w:pPr>
      <w:r w:rsidRPr="00413148">
        <w:rPr>
          <w:rStyle w:val="FootnoteReference"/>
        </w:rPr>
        <w:footnoteRef/>
      </w:r>
      <w:r w:rsidRPr="00413148">
        <w:t xml:space="preserve"> </w:t>
      </w:r>
      <w:r w:rsidR="0051772A" w:rsidRPr="00413148">
        <w:rPr>
          <w:i/>
          <w:iCs/>
        </w:rPr>
        <w:t>See</w:t>
      </w:r>
      <w:r w:rsidR="0051772A" w:rsidRPr="00413148">
        <w:t xml:space="preserve"> </w:t>
      </w:r>
      <w:r w:rsidR="00D95381" w:rsidRPr="00413148">
        <w:t xml:space="preserve">Christo </w:t>
      </w:r>
      <w:r w:rsidR="00EC7277" w:rsidRPr="00413148">
        <w:t xml:space="preserve">El Morr, </w:t>
      </w:r>
      <w:r w:rsidR="00D95381" w:rsidRPr="00413148">
        <w:t xml:space="preserve">Bushra </w:t>
      </w:r>
      <w:r w:rsidR="00EC7277" w:rsidRPr="00413148">
        <w:t xml:space="preserve">Kundi, </w:t>
      </w:r>
      <w:r w:rsidR="00D95381" w:rsidRPr="00413148">
        <w:t xml:space="preserve">Fariah </w:t>
      </w:r>
      <w:r w:rsidR="00EC7277" w:rsidRPr="00413148">
        <w:t>Mobeen</w:t>
      </w:r>
      <w:r w:rsidR="00287E1E" w:rsidRPr="00413148">
        <w:t>,</w:t>
      </w:r>
      <w:r w:rsidR="00D15097" w:rsidRPr="00413148">
        <w:t xml:space="preserve"> </w:t>
      </w:r>
      <w:r w:rsidR="00D95381" w:rsidRPr="00413148">
        <w:t xml:space="preserve">Sarah </w:t>
      </w:r>
      <w:r w:rsidR="00EC7277" w:rsidRPr="00413148">
        <w:t xml:space="preserve">Taleghani, </w:t>
      </w:r>
      <w:r w:rsidR="00D95381" w:rsidRPr="00413148">
        <w:t xml:space="preserve">Yahya </w:t>
      </w:r>
      <w:r w:rsidR="00EC7277" w:rsidRPr="00413148">
        <w:t>El-Lahib</w:t>
      </w:r>
      <w:r w:rsidR="00CB0F59" w:rsidRPr="00413148">
        <w:t>,</w:t>
      </w:r>
      <w:r w:rsidR="009D7B9E" w:rsidRPr="00413148">
        <w:t xml:space="preserve"> &amp;</w:t>
      </w:r>
      <w:r w:rsidR="00D15097" w:rsidRPr="00413148">
        <w:t xml:space="preserve"> </w:t>
      </w:r>
      <w:r w:rsidR="00EE2587" w:rsidRPr="00413148">
        <w:t xml:space="preserve">Rachel </w:t>
      </w:r>
      <w:r w:rsidR="00EC7277" w:rsidRPr="00413148">
        <w:t>Gorman</w:t>
      </w:r>
      <w:r w:rsidR="006B1ED4" w:rsidRPr="00413148">
        <w:t>,</w:t>
      </w:r>
      <w:r w:rsidR="009D7B9E" w:rsidRPr="00413148">
        <w:t xml:space="preserve"> </w:t>
      </w:r>
      <w:r w:rsidR="00EC7277" w:rsidRPr="00413148">
        <w:rPr>
          <w:i/>
          <w:iCs/>
        </w:rPr>
        <w:t>AI and disability: A systematic scoping review</w:t>
      </w:r>
      <w:r w:rsidR="00686A08" w:rsidRPr="00413148">
        <w:t>,</w:t>
      </w:r>
      <w:r w:rsidR="00EC7277" w:rsidRPr="00413148">
        <w:t> </w:t>
      </w:r>
      <w:r w:rsidR="00EF441B" w:rsidRPr="00413148">
        <w:t xml:space="preserve">30 </w:t>
      </w:r>
      <w:r w:rsidR="00EC7277" w:rsidRPr="00413148">
        <w:t>H</w:t>
      </w:r>
      <w:r w:rsidR="00EC7277" w:rsidRPr="00413148">
        <w:rPr>
          <w:smallCaps/>
        </w:rPr>
        <w:t>ealth</w:t>
      </w:r>
      <w:r w:rsidR="00EC7277" w:rsidRPr="00413148">
        <w:t xml:space="preserve"> I</w:t>
      </w:r>
      <w:r w:rsidR="00EC7277" w:rsidRPr="00413148">
        <w:rPr>
          <w:smallCaps/>
        </w:rPr>
        <w:t>nformatics</w:t>
      </w:r>
      <w:r w:rsidR="00EC7277" w:rsidRPr="00413148">
        <w:t xml:space="preserve"> J</w:t>
      </w:r>
      <w:r w:rsidR="00EF441B" w:rsidRPr="00413148">
        <w:rPr>
          <w:smallCaps/>
        </w:rPr>
        <w:t>.</w:t>
      </w:r>
      <w:r w:rsidR="00A9141C" w:rsidRPr="00413148">
        <w:t>,</w:t>
      </w:r>
      <w:r w:rsidR="002B103B" w:rsidRPr="00413148">
        <w:t xml:space="preserve"> Sept. 17, 2024</w:t>
      </w:r>
      <w:r w:rsidR="00F13788" w:rsidRPr="00413148">
        <w:t>, at 1, 10-13</w:t>
      </w:r>
      <w:r w:rsidR="004644FE" w:rsidRPr="00413148">
        <w:t xml:space="preserve"> https://journals.sagepub.com/doi/epub/10.1177/14604582241285743</w:t>
      </w:r>
      <w:r w:rsidR="00EC7277" w:rsidRPr="00413148">
        <w:t xml:space="preserve"> </w:t>
      </w:r>
      <w:r w:rsidR="004644FE" w:rsidRPr="00413148">
        <w:t>[</w:t>
      </w:r>
      <w:hyperlink r:id="rId3" w:history="1">
        <w:r w:rsidR="004644FE" w:rsidRPr="00413148">
          <w:rPr>
            <w:rStyle w:val="Hyperlink"/>
          </w:rPr>
          <w:t>https://doi.org/10.1177/14604582241285743</w:t>
        </w:r>
      </w:hyperlink>
      <w:r w:rsidR="004644FE" w:rsidRPr="00413148">
        <w:t>]</w:t>
      </w:r>
      <w:r w:rsidR="006252EF" w:rsidRPr="00413148">
        <w:t>.</w:t>
      </w:r>
    </w:p>
  </w:footnote>
  <w:footnote w:id="48">
    <w:p w14:paraId="62DEA850" w14:textId="77777777" w:rsidR="00C06906" w:rsidRPr="00413148" w:rsidRDefault="00C06906" w:rsidP="00166DFD">
      <w:pPr>
        <w:pStyle w:val="FootnoteText"/>
        <w:ind w:left="0"/>
      </w:pPr>
      <w:r w:rsidRPr="00413148">
        <w:rPr>
          <w:rStyle w:val="FootnoteReference"/>
        </w:rPr>
        <w:footnoteRef/>
      </w:r>
      <w:r w:rsidRPr="00413148">
        <w:t xml:space="preserve"> N.Y.C. Admin. Code §§ 8-107(</w:t>
      </w:r>
      <w:r w:rsidR="007C4A1C" w:rsidRPr="00413148">
        <w:t>1)</w:t>
      </w:r>
      <w:r w:rsidR="00EC2026" w:rsidRPr="00413148">
        <w:t>,</w:t>
      </w:r>
      <w:r w:rsidR="007C4A1C" w:rsidRPr="00413148">
        <w:t xml:space="preserve"> </w:t>
      </w:r>
      <w:r w:rsidR="00831081" w:rsidRPr="00413148">
        <w:t>(4)</w:t>
      </w:r>
      <w:r w:rsidR="00EC2026" w:rsidRPr="00413148">
        <w:t>,</w:t>
      </w:r>
      <w:r w:rsidR="00831081" w:rsidRPr="00413148">
        <w:t xml:space="preserve"> </w:t>
      </w:r>
      <w:r w:rsidR="00F929A1" w:rsidRPr="00413148">
        <w:t>(</w:t>
      </w:r>
      <w:r w:rsidR="00831081" w:rsidRPr="00413148">
        <w:t>5</w:t>
      </w:r>
      <w:r w:rsidR="00F929A1" w:rsidRPr="00413148">
        <w:t>)</w:t>
      </w:r>
      <w:r w:rsidR="00831081" w:rsidRPr="00413148">
        <w:t>.</w:t>
      </w:r>
    </w:p>
  </w:footnote>
  <w:footnote w:id="49">
    <w:p w14:paraId="12EBEF64" w14:textId="36D07851" w:rsidR="00BE4EB7" w:rsidRPr="00413148" w:rsidRDefault="00BE4EB7" w:rsidP="00166DFD">
      <w:pPr>
        <w:pStyle w:val="FootnoteText"/>
        <w:ind w:left="0"/>
      </w:pPr>
      <w:r w:rsidRPr="00413148">
        <w:rPr>
          <w:rStyle w:val="FootnoteReference"/>
        </w:rPr>
        <w:footnoteRef/>
      </w:r>
      <w:r w:rsidRPr="00413148">
        <w:t xml:space="preserve"> </w:t>
      </w:r>
      <w:r w:rsidR="001B7766" w:rsidRPr="00413148">
        <w:rPr>
          <w:i/>
          <w:iCs/>
        </w:rPr>
        <w:t>Id.</w:t>
      </w:r>
      <w:r w:rsidR="00B61B7C" w:rsidRPr="00413148">
        <w:t xml:space="preserve"> § 8-107</w:t>
      </w:r>
      <w:r w:rsidR="007968E5" w:rsidRPr="00413148">
        <w:t>(17)(a)(2).</w:t>
      </w:r>
    </w:p>
  </w:footnote>
  <w:footnote w:id="50">
    <w:p w14:paraId="004B7924" w14:textId="1BDA24D3" w:rsidR="00F84C14" w:rsidRPr="00413148" w:rsidRDefault="00F84C14" w:rsidP="00166DFD">
      <w:pPr>
        <w:pStyle w:val="FootnoteText"/>
        <w:ind w:left="0"/>
      </w:pPr>
      <w:r w:rsidRPr="00413148">
        <w:rPr>
          <w:rStyle w:val="FootnoteReference"/>
        </w:rPr>
        <w:footnoteRef/>
      </w:r>
      <w:r w:rsidRPr="00413148">
        <w:t xml:space="preserve"> </w:t>
      </w:r>
      <w:r w:rsidR="008C5EE2" w:rsidRPr="00413148">
        <w:t xml:space="preserve">Local Law No. 144 (2021), codified at N.Y.C. Admin. Code § 20-871; </w:t>
      </w:r>
      <w:r w:rsidR="008C5EE2" w:rsidRPr="00413148">
        <w:rPr>
          <w:i/>
          <w:iCs/>
        </w:rPr>
        <w:t>s</w:t>
      </w:r>
      <w:r w:rsidRPr="00413148">
        <w:rPr>
          <w:i/>
          <w:iCs/>
        </w:rPr>
        <w:t>ee</w:t>
      </w:r>
      <w:r w:rsidR="003C3A95" w:rsidRPr="00413148">
        <w:rPr>
          <w:i/>
          <w:iCs/>
        </w:rPr>
        <w:t xml:space="preserve"> also</w:t>
      </w:r>
      <w:r w:rsidRPr="00413148">
        <w:t xml:space="preserve"> U.S. </w:t>
      </w:r>
      <w:proofErr w:type="spellStart"/>
      <w:r w:rsidRPr="00413148">
        <w:t>Dep’t</w:t>
      </w:r>
      <w:proofErr w:type="spellEnd"/>
      <w:r w:rsidRPr="00413148">
        <w:t xml:space="preserve"> of Just</w:t>
      </w:r>
      <w:r w:rsidR="000B771E" w:rsidRPr="00413148">
        <w:t>.</w:t>
      </w:r>
      <w:r w:rsidR="00467E51" w:rsidRPr="00413148">
        <w:t>,</w:t>
      </w:r>
      <w:r w:rsidRPr="00413148">
        <w:t xml:space="preserve"> Civil Rights Div., </w:t>
      </w:r>
      <w:r w:rsidRPr="00413148">
        <w:rPr>
          <w:i/>
          <w:iCs/>
        </w:rPr>
        <w:t>Algorithms, Artificial Intelligence, and Disability Discrimination in Hiring</w:t>
      </w:r>
      <w:r w:rsidRPr="00413148">
        <w:t xml:space="preserve">, </w:t>
      </w:r>
      <w:hyperlink r:id="rId4" w:history="1">
        <w:r w:rsidRPr="00413148">
          <w:rPr>
            <w:rStyle w:val="Hyperlink"/>
          </w:rPr>
          <w:t>https://www.ada.gov/assets/pdfs/ai-guidance.pdf</w:t>
        </w:r>
      </w:hyperlink>
      <w:r w:rsidR="00405998" w:rsidRPr="00413148">
        <w:t xml:space="preserve"> (last visited </w:t>
      </w:r>
      <w:r w:rsidR="00F44D5C" w:rsidRPr="00413148">
        <w:t>Dec. 22, 2025)</w:t>
      </w:r>
      <w:r w:rsidRPr="00413148">
        <w:t>.</w:t>
      </w:r>
    </w:p>
  </w:footnote>
  <w:footnote w:id="51">
    <w:p w14:paraId="6A731B30" w14:textId="77777777" w:rsidR="00E26D37" w:rsidRPr="00413148" w:rsidRDefault="00E26D37" w:rsidP="00166DFD">
      <w:pPr>
        <w:pStyle w:val="FootnoteText"/>
        <w:ind w:left="0"/>
      </w:pPr>
      <w:r w:rsidRPr="00413148">
        <w:rPr>
          <w:rStyle w:val="FootnoteReference"/>
        </w:rPr>
        <w:footnoteRef/>
      </w:r>
      <w:r w:rsidRPr="00413148">
        <w:t xml:space="preserve"> </w:t>
      </w:r>
      <w:r w:rsidR="00DC00FE" w:rsidRPr="00413148">
        <w:t>N.Y.C. Admin. Code §</w:t>
      </w:r>
      <w:r w:rsidR="0030436B" w:rsidRPr="00413148">
        <w:t>§</w:t>
      </w:r>
      <w:r w:rsidR="00DC00FE" w:rsidRPr="00413148">
        <w:t xml:space="preserve"> 8-107(1)</w:t>
      </w:r>
      <w:r w:rsidR="00EC2026" w:rsidRPr="00413148">
        <w:t>, (15).</w:t>
      </w:r>
    </w:p>
  </w:footnote>
  <w:footnote w:id="52">
    <w:p w14:paraId="5CE6FAB8" w14:textId="597EC021" w:rsidR="00F85C89" w:rsidRPr="00413148" w:rsidRDefault="00F85C89" w:rsidP="00166DFD">
      <w:pPr>
        <w:pStyle w:val="FootnoteText"/>
        <w:ind w:left="0"/>
      </w:pPr>
      <w:r w:rsidRPr="00413148">
        <w:rPr>
          <w:rStyle w:val="FootnoteReference"/>
        </w:rPr>
        <w:footnoteRef/>
      </w:r>
      <w:r w:rsidRPr="00413148">
        <w:t xml:space="preserve"> </w:t>
      </w:r>
      <w:r w:rsidR="00D40939" w:rsidRPr="00413148">
        <w:rPr>
          <w:i/>
          <w:iCs/>
        </w:rPr>
        <w:t>Id.</w:t>
      </w:r>
      <w:r w:rsidRPr="00413148">
        <w:t xml:space="preserve"> §§ 8-107(5), (15).</w:t>
      </w:r>
    </w:p>
  </w:footnote>
  <w:footnote w:id="53">
    <w:p w14:paraId="242D5DDB" w14:textId="19A537CC" w:rsidR="004F35C3" w:rsidRPr="00413148" w:rsidRDefault="004F35C3" w:rsidP="00166DFD">
      <w:pPr>
        <w:pStyle w:val="FootnoteText"/>
        <w:ind w:left="0"/>
      </w:pPr>
      <w:r w:rsidRPr="00413148">
        <w:rPr>
          <w:rStyle w:val="FootnoteReference"/>
        </w:rPr>
        <w:footnoteRef/>
      </w:r>
      <w:r w:rsidRPr="00413148">
        <w:t xml:space="preserve"> </w:t>
      </w:r>
      <w:r w:rsidR="004D148A" w:rsidRPr="00413148">
        <w:rPr>
          <w:i/>
          <w:iCs/>
        </w:rPr>
        <w:t>See</w:t>
      </w:r>
      <w:r w:rsidR="004D148A" w:rsidRPr="00413148">
        <w:t xml:space="preserve"> </w:t>
      </w:r>
      <w:r w:rsidR="00E4750B" w:rsidRPr="00413148">
        <w:rPr>
          <w:smallCaps/>
        </w:rPr>
        <w:t xml:space="preserve">Ariana Aboulafia &amp; Henry Claypool, </w:t>
      </w:r>
      <w:r w:rsidRPr="00413148">
        <w:rPr>
          <w:smallCaps/>
        </w:rPr>
        <w:t>Ctr</w:t>
      </w:r>
      <w:r w:rsidR="00ED4CDA" w:rsidRPr="00413148">
        <w:rPr>
          <w:smallCaps/>
        </w:rPr>
        <w:t>.</w:t>
      </w:r>
      <w:r w:rsidRPr="00413148">
        <w:rPr>
          <w:smallCaps/>
        </w:rPr>
        <w:t xml:space="preserve"> for Democracy </w:t>
      </w:r>
      <w:r w:rsidR="00ED4CDA" w:rsidRPr="00413148">
        <w:rPr>
          <w:smallCaps/>
        </w:rPr>
        <w:t>&amp;</w:t>
      </w:r>
      <w:r w:rsidR="00113630" w:rsidRPr="00413148">
        <w:rPr>
          <w:smallCaps/>
        </w:rPr>
        <w:t xml:space="preserve"> </w:t>
      </w:r>
      <w:r w:rsidRPr="00413148">
        <w:rPr>
          <w:smallCaps/>
        </w:rPr>
        <w:t>Tech</w:t>
      </w:r>
      <w:r w:rsidR="00ED4CDA" w:rsidRPr="00413148">
        <w:rPr>
          <w:smallCaps/>
        </w:rPr>
        <w:t>.</w:t>
      </w:r>
      <w:r w:rsidRPr="00413148">
        <w:rPr>
          <w:smallCaps/>
        </w:rPr>
        <w:t xml:space="preserve"> </w:t>
      </w:r>
      <w:r w:rsidR="00ED4CDA" w:rsidRPr="00413148">
        <w:rPr>
          <w:smallCaps/>
        </w:rPr>
        <w:t>and</w:t>
      </w:r>
      <w:r w:rsidRPr="00413148">
        <w:rPr>
          <w:smallCaps/>
        </w:rPr>
        <w:t xml:space="preserve"> the Am</w:t>
      </w:r>
      <w:r w:rsidR="00ED4CDA" w:rsidRPr="00413148">
        <w:rPr>
          <w:smallCaps/>
        </w:rPr>
        <w:t>.</w:t>
      </w:r>
      <w:r w:rsidRPr="00413148">
        <w:rPr>
          <w:smallCaps/>
        </w:rPr>
        <w:t xml:space="preserve"> </w:t>
      </w:r>
      <w:proofErr w:type="spellStart"/>
      <w:r w:rsidRPr="00413148">
        <w:rPr>
          <w:smallCaps/>
        </w:rPr>
        <w:t>Ass</w:t>
      </w:r>
      <w:r w:rsidR="00ED4CDA" w:rsidRPr="00413148">
        <w:rPr>
          <w:smallCaps/>
        </w:rPr>
        <w:t>’n</w:t>
      </w:r>
      <w:proofErr w:type="spellEnd"/>
      <w:r w:rsidRPr="00413148">
        <w:rPr>
          <w:smallCaps/>
        </w:rPr>
        <w:t xml:space="preserve"> for People with Disabilities</w:t>
      </w:r>
      <w:r w:rsidR="00B96FE2" w:rsidRPr="00413148">
        <w:t>,</w:t>
      </w:r>
      <w:r w:rsidR="00657E29" w:rsidRPr="00413148">
        <w:t xml:space="preserve"> </w:t>
      </w:r>
      <w:r w:rsidR="00E4750B" w:rsidRPr="00413148">
        <w:rPr>
          <w:i/>
          <w:iCs/>
        </w:rPr>
        <w:t>Building a Disability-Inclusive AI Ecosystem</w:t>
      </w:r>
      <w:r w:rsidR="00E4750B" w:rsidRPr="00413148">
        <w:t xml:space="preserve"> </w:t>
      </w:r>
      <w:r w:rsidR="00657E29" w:rsidRPr="00413148">
        <w:t>(March 11, 2025)</w:t>
      </w:r>
      <w:r w:rsidRPr="00413148">
        <w:t xml:space="preserve">, </w:t>
      </w:r>
      <w:r w:rsidR="00B96FE2" w:rsidRPr="00413148">
        <w:t>at 38-39</w:t>
      </w:r>
      <w:r w:rsidRPr="00413148">
        <w:t xml:space="preserve">, </w:t>
      </w:r>
      <w:hyperlink r:id="rId5" w:history="1">
        <w:r w:rsidR="00225454" w:rsidRPr="00413148">
          <w:rPr>
            <w:rStyle w:val="Hyperlink"/>
          </w:rPr>
          <w:t>https://cdt.org/wp-content/uploads/2025/03/2025-03-11-CDT-Building-A-Disability-Inclusive-AI-Ecosystem-report-final.pdf</w:t>
        </w:r>
      </w:hyperlink>
      <w:r w:rsidR="005877BD" w:rsidRPr="00413148">
        <w:t>.</w:t>
      </w:r>
    </w:p>
  </w:footnote>
  <w:footnote w:id="54">
    <w:p w14:paraId="7B765B71" w14:textId="77777777" w:rsidR="00B73E4D" w:rsidRPr="00413148" w:rsidRDefault="00B73E4D" w:rsidP="00166DFD">
      <w:pPr>
        <w:pStyle w:val="FootnoteText"/>
        <w:ind w:left="0"/>
      </w:pPr>
      <w:r w:rsidRPr="00413148">
        <w:rPr>
          <w:rStyle w:val="FootnoteReference"/>
        </w:rPr>
        <w:footnoteRef/>
      </w:r>
      <w:r w:rsidRPr="00413148">
        <w:t xml:space="preserve"> </w:t>
      </w:r>
      <w:r w:rsidR="00785C4F" w:rsidRPr="00413148">
        <w:t>N.Y.C. Admin. Code § 8-107(4).</w:t>
      </w:r>
    </w:p>
  </w:footnote>
  <w:footnote w:id="55">
    <w:p w14:paraId="069F09CC" w14:textId="7C2DC038" w:rsidR="00785C4F" w:rsidRPr="00413148" w:rsidRDefault="00785C4F" w:rsidP="00166DFD">
      <w:pPr>
        <w:pStyle w:val="FootnoteText"/>
        <w:ind w:left="0"/>
      </w:pPr>
      <w:r w:rsidRPr="00413148">
        <w:rPr>
          <w:rStyle w:val="FootnoteReference"/>
        </w:rPr>
        <w:footnoteRef/>
      </w:r>
      <w:r w:rsidRPr="00413148">
        <w:t xml:space="preserve"> </w:t>
      </w:r>
      <w:r w:rsidR="00F81996" w:rsidRPr="00413148">
        <w:t>Aboulafia, s</w:t>
      </w:r>
      <w:r w:rsidR="004508D2" w:rsidRPr="00413148">
        <w:rPr>
          <w:i/>
        </w:rPr>
        <w:t>upra</w:t>
      </w:r>
      <w:r w:rsidR="004508D2" w:rsidRPr="00413148">
        <w:t xml:space="preserve"> note </w:t>
      </w:r>
      <w:r w:rsidR="00494DC8" w:rsidRPr="00413148">
        <w:t>52</w:t>
      </w:r>
      <w:r w:rsidR="004508D2" w:rsidRPr="00413148">
        <w:t>.</w:t>
      </w:r>
    </w:p>
  </w:footnote>
  <w:footnote w:id="56">
    <w:p w14:paraId="1E478172" w14:textId="77777777" w:rsidR="00785C4F" w:rsidRPr="00413148" w:rsidRDefault="00785C4F" w:rsidP="00166DFD">
      <w:pPr>
        <w:pStyle w:val="FootnoteText"/>
        <w:ind w:left="0"/>
      </w:pPr>
      <w:r w:rsidRPr="00413148">
        <w:rPr>
          <w:rStyle w:val="FootnoteReference"/>
        </w:rPr>
        <w:footnoteRef/>
      </w:r>
      <w:r w:rsidRPr="00413148">
        <w:t xml:space="preserve"> N.Y.C. Admin. Code § 8-107(15).</w:t>
      </w:r>
    </w:p>
  </w:footnote>
  <w:footnote w:id="57">
    <w:p w14:paraId="383DBDF1" w14:textId="33F28914" w:rsidR="00CA6BD3" w:rsidRPr="00413148" w:rsidRDefault="00CA6BD3" w:rsidP="00166DFD">
      <w:pPr>
        <w:pStyle w:val="FootnoteText"/>
        <w:ind w:left="0"/>
      </w:pPr>
      <w:r w:rsidRPr="00413148">
        <w:rPr>
          <w:rStyle w:val="FootnoteReference"/>
        </w:rPr>
        <w:footnoteRef/>
      </w:r>
      <w:r w:rsidRPr="00413148">
        <w:t xml:space="preserve"> </w:t>
      </w:r>
      <w:r w:rsidR="00D30280" w:rsidRPr="00413148">
        <w:rPr>
          <w:i/>
          <w:iCs/>
        </w:rPr>
        <w:t>Id.</w:t>
      </w:r>
      <w:r w:rsidR="005A33D2" w:rsidRPr="00413148">
        <w:t xml:space="preserve"> § 8-107(15)(a).</w:t>
      </w:r>
    </w:p>
  </w:footnote>
  <w:footnote w:id="58">
    <w:p w14:paraId="33ACA3FD" w14:textId="77777777" w:rsidR="000556B8" w:rsidRPr="00413148" w:rsidRDefault="000556B8" w:rsidP="00166DFD">
      <w:pPr>
        <w:pStyle w:val="FootnoteText"/>
        <w:ind w:left="0"/>
      </w:pPr>
      <w:r w:rsidRPr="00413148">
        <w:rPr>
          <w:rStyle w:val="FootnoteReference"/>
        </w:rPr>
        <w:footnoteRef/>
      </w:r>
      <w:r w:rsidRPr="00413148">
        <w:t xml:space="preserve"> </w:t>
      </w:r>
      <w:r w:rsidR="005A33D2" w:rsidRPr="00413148">
        <w:rPr>
          <w:i/>
        </w:rPr>
        <w:t>Id</w:t>
      </w:r>
      <w:r w:rsidR="005A33D2" w:rsidRPr="00413148">
        <w:t>.</w:t>
      </w:r>
    </w:p>
  </w:footnote>
  <w:footnote w:id="59">
    <w:p w14:paraId="011BE7CC" w14:textId="7A81A54B" w:rsidR="008761ED" w:rsidRPr="00413148" w:rsidRDefault="008761ED" w:rsidP="00166DFD">
      <w:pPr>
        <w:pStyle w:val="FootnoteText"/>
        <w:ind w:left="0"/>
      </w:pPr>
      <w:r w:rsidRPr="00413148">
        <w:rPr>
          <w:rStyle w:val="FootnoteReference"/>
        </w:rPr>
        <w:footnoteRef/>
      </w:r>
      <w:r w:rsidRPr="00413148">
        <w:t xml:space="preserve"> </w:t>
      </w:r>
      <w:r w:rsidR="000141CD" w:rsidRPr="00413148">
        <w:rPr>
          <w:i/>
          <w:iCs/>
        </w:rPr>
        <w:t>Id.</w:t>
      </w:r>
      <w:r w:rsidR="00FA456E" w:rsidRPr="00413148">
        <w:t xml:space="preserve"> §§ 8-107(4)</w:t>
      </w:r>
      <w:r w:rsidR="00EE7565" w:rsidRPr="00413148">
        <w:t>, (15)</w:t>
      </w:r>
      <w:r w:rsidR="00FA456E" w:rsidRPr="00413148">
        <w:t>.</w:t>
      </w:r>
    </w:p>
  </w:footnote>
  <w:footnote w:id="60">
    <w:p w14:paraId="26982A25" w14:textId="77777777" w:rsidR="00D776C2" w:rsidRPr="00413148" w:rsidRDefault="00D776C2" w:rsidP="00166DFD">
      <w:pPr>
        <w:pStyle w:val="FootnoteText"/>
        <w:ind w:left="0"/>
      </w:pPr>
      <w:r w:rsidRPr="00413148">
        <w:rPr>
          <w:rStyle w:val="FootnoteReference"/>
        </w:rPr>
        <w:footnoteRef/>
      </w:r>
      <w:r w:rsidRPr="00413148">
        <w:t xml:space="preserve"> </w:t>
      </w:r>
      <w:r w:rsidR="005A33D2" w:rsidRPr="00413148">
        <w:rPr>
          <w:i/>
        </w:rPr>
        <w:t>Id</w:t>
      </w:r>
      <w:r w:rsidR="005A33D2" w:rsidRPr="00413148">
        <w:t xml:space="preserve">. </w:t>
      </w:r>
    </w:p>
  </w:footnote>
  <w:footnote w:id="61">
    <w:p w14:paraId="3695874A" w14:textId="58E89727" w:rsidR="00D776C2" w:rsidRPr="00413148" w:rsidRDefault="00D776C2" w:rsidP="00166DFD">
      <w:pPr>
        <w:pStyle w:val="FootnoteText"/>
        <w:ind w:left="0"/>
      </w:pPr>
      <w:r w:rsidRPr="00413148">
        <w:rPr>
          <w:rStyle w:val="FootnoteReference"/>
        </w:rPr>
        <w:footnoteRef/>
      </w:r>
      <w:r w:rsidRPr="00413148">
        <w:t xml:space="preserve"> </w:t>
      </w:r>
      <w:r w:rsidR="000141CD" w:rsidRPr="00413148">
        <w:rPr>
          <w:i/>
          <w:iCs/>
        </w:rPr>
        <w:t>Id.</w:t>
      </w:r>
      <w:r w:rsidRPr="00413148">
        <w:t xml:space="preserve"> § 8-102; </w:t>
      </w:r>
      <w:r w:rsidRPr="00413148">
        <w:rPr>
          <w:i/>
        </w:rPr>
        <w:t>see infra</w:t>
      </w:r>
      <w:r w:rsidRPr="00413148">
        <w:t xml:space="preserve"> </w:t>
      </w:r>
      <w:r w:rsidR="003231D9" w:rsidRPr="00413148">
        <w:t xml:space="preserve">Sections </w:t>
      </w:r>
      <w:r w:rsidR="00DA5177" w:rsidRPr="00413148">
        <w:t>II</w:t>
      </w:r>
      <w:r w:rsidRPr="00413148">
        <w:t>(</w:t>
      </w:r>
      <w:r w:rsidR="000B12C2" w:rsidRPr="00413148">
        <w:t>A</w:t>
      </w:r>
      <w:r w:rsidRPr="00413148">
        <w:t>)(i</w:t>
      </w:r>
      <w:r w:rsidR="00E1573A" w:rsidRPr="00413148">
        <w:t>v</w:t>
      </w:r>
      <w:r w:rsidRPr="00413148">
        <w:t>)</w:t>
      </w:r>
      <w:r w:rsidR="00E1573A" w:rsidRPr="00413148">
        <w:t>(a)</w:t>
      </w:r>
      <w:r w:rsidR="000141CD" w:rsidRPr="00413148">
        <w:t>,</w:t>
      </w:r>
      <w:r w:rsidR="00E1573A" w:rsidRPr="00413148">
        <w:t xml:space="preserve"> II(B)(</w:t>
      </w:r>
      <w:r w:rsidR="002B1555" w:rsidRPr="00413148">
        <w:t>iii)(a)</w:t>
      </w:r>
      <w:r w:rsidR="000141CD" w:rsidRPr="00413148">
        <w:t>,</w:t>
      </w:r>
      <w:r w:rsidR="0036766A" w:rsidRPr="00413148">
        <w:t xml:space="preserve"> and II(C)(</w:t>
      </w:r>
      <w:r w:rsidR="00866AFE" w:rsidRPr="00413148">
        <w:t>iv)(a)</w:t>
      </w:r>
      <w:r w:rsidRPr="00413148">
        <w:t xml:space="preserve"> for discussion</w:t>
      </w:r>
      <w:r w:rsidR="0012705B" w:rsidRPr="00413148">
        <w:t>s</w:t>
      </w:r>
      <w:r w:rsidRPr="00413148">
        <w:t xml:space="preserve"> about undue hardship.</w:t>
      </w:r>
    </w:p>
  </w:footnote>
  <w:footnote w:id="62">
    <w:p w14:paraId="2173E98E" w14:textId="77777777" w:rsidR="00FD4116" w:rsidRPr="00413148" w:rsidRDefault="00FD4116" w:rsidP="00166DFD">
      <w:pPr>
        <w:pStyle w:val="FootnoteText"/>
        <w:ind w:left="0"/>
      </w:pPr>
      <w:r w:rsidRPr="00413148">
        <w:rPr>
          <w:rStyle w:val="FootnoteReference"/>
        </w:rPr>
        <w:footnoteRef/>
      </w:r>
      <w:r w:rsidRPr="00413148">
        <w:t xml:space="preserve"> </w:t>
      </w:r>
      <w:r w:rsidRPr="00413148">
        <w:rPr>
          <w:i/>
        </w:rPr>
        <w:t>See</w:t>
      </w:r>
      <w:r w:rsidRPr="00413148">
        <w:t xml:space="preserve"> N.Y.C. Admin. Code § 8-102.</w:t>
      </w:r>
      <w:r w:rsidR="1EDD957F" w:rsidRPr="00413148">
        <w:t xml:space="preserve"> These factors are enumerated specifically for the workplace but are used across covered entities.</w:t>
      </w:r>
    </w:p>
  </w:footnote>
  <w:footnote w:id="63">
    <w:p w14:paraId="76D3A946" w14:textId="3A620565" w:rsidR="00D776C2" w:rsidRPr="00413148" w:rsidRDefault="00D776C2" w:rsidP="00166DFD">
      <w:pPr>
        <w:pStyle w:val="FootnoteText"/>
        <w:ind w:left="0"/>
      </w:pPr>
      <w:r w:rsidRPr="00413148">
        <w:rPr>
          <w:rStyle w:val="FootnoteReference"/>
        </w:rPr>
        <w:footnoteRef/>
      </w:r>
      <w:r w:rsidRPr="00413148">
        <w:t xml:space="preserve"> </w:t>
      </w:r>
      <w:r w:rsidRPr="00413148">
        <w:rPr>
          <w:i/>
        </w:rPr>
        <w:t>See In re Comm’n on Human Rights ex rel. Stamm v. E&amp;E Bagels,</w:t>
      </w:r>
      <w:r w:rsidRPr="00413148">
        <w:t xml:space="preserve"> OATH Index No. 803/14, </w:t>
      </w:r>
      <w:r w:rsidR="000A4CDB" w:rsidRPr="00413148">
        <w:t xml:space="preserve">Comm’n </w:t>
      </w:r>
      <w:r w:rsidRPr="00413148">
        <w:t>Dec. &amp; Order, 2016 WL 1644879, at *6 (Apr. 21, 2016).</w:t>
      </w:r>
    </w:p>
  </w:footnote>
  <w:footnote w:id="64">
    <w:p w14:paraId="3111E794" w14:textId="18CAC452" w:rsidR="00D776C2" w:rsidRPr="00413148" w:rsidRDefault="00D776C2" w:rsidP="00166DFD">
      <w:pPr>
        <w:pStyle w:val="FootnoteText"/>
        <w:ind w:left="0"/>
      </w:pPr>
      <w:r w:rsidRPr="00413148">
        <w:rPr>
          <w:rStyle w:val="FootnoteReference"/>
        </w:rPr>
        <w:footnoteRef/>
      </w:r>
      <w:r w:rsidRPr="00413148">
        <w:t xml:space="preserve"> </w:t>
      </w:r>
      <w:r w:rsidR="00BB770C" w:rsidRPr="00413148">
        <w:rPr>
          <w:i/>
          <w:iCs/>
        </w:rPr>
        <w:t>See</w:t>
      </w:r>
      <w:r w:rsidR="00BB770C" w:rsidRPr="00413148">
        <w:t xml:space="preserve">, </w:t>
      </w:r>
      <w:r w:rsidR="00BB770C" w:rsidRPr="00413148">
        <w:rPr>
          <w:i/>
          <w:iCs/>
        </w:rPr>
        <w:t>e.g.</w:t>
      </w:r>
      <w:r w:rsidR="00BB770C" w:rsidRPr="00413148">
        <w:t xml:space="preserve">, </w:t>
      </w:r>
      <w:r w:rsidRPr="00413148">
        <w:rPr>
          <w:i/>
        </w:rPr>
        <w:t>Romanello v. Intesa Sanpaolo, S.P.A.</w:t>
      </w:r>
      <w:r w:rsidRPr="00413148">
        <w:t>, 22 N.Y.3d 881, 88</w:t>
      </w:r>
      <w:r w:rsidR="00BB770C" w:rsidRPr="00413148">
        <w:t>5</w:t>
      </w:r>
      <w:r w:rsidRPr="00413148">
        <w:t xml:space="preserve"> (2013). </w:t>
      </w:r>
      <w:r w:rsidR="007459F8" w:rsidRPr="00413148">
        <w:t>T</w:t>
      </w:r>
      <w:r w:rsidRPr="00413148">
        <w:t xml:space="preserve">he Fair Housing Act </w:t>
      </w:r>
      <w:r w:rsidR="007459F8" w:rsidRPr="00413148">
        <w:t>requires</w:t>
      </w:r>
      <w:r w:rsidR="005C5D77" w:rsidRPr="00413148">
        <w:t xml:space="preserve"> </w:t>
      </w:r>
      <w:r w:rsidRPr="00413148">
        <w:t xml:space="preserve">residents to show that modifications are “necessary,” and even then, only obligate a landlord to “permit” reasonable modifications, not to provide them. </w:t>
      </w:r>
      <w:r w:rsidRPr="00413148">
        <w:rPr>
          <w:i/>
          <w:iCs/>
        </w:rPr>
        <w:t>See</w:t>
      </w:r>
      <w:r w:rsidRPr="00413148">
        <w:t xml:space="preserve"> 42 U.S.C. § 3604(f)(3)(A).</w:t>
      </w:r>
    </w:p>
  </w:footnote>
  <w:footnote w:id="65">
    <w:p w14:paraId="16EDEA11" w14:textId="142DF355" w:rsidR="007F7AE8" w:rsidRPr="00413148" w:rsidRDefault="007F7AE8" w:rsidP="00166DFD">
      <w:pPr>
        <w:pStyle w:val="FootnoteText"/>
        <w:ind w:left="0"/>
      </w:pPr>
      <w:r w:rsidRPr="00413148">
        <w:rPr>
          <w:rStyle w:val="FootnoteReference"/>
        </w:rPr>
        <w:footnoteRef/>
      </w:r>
      <w:r w:rsidRPr="00413148">
        <w:t xml:space="preserve"> </w:t>
      </w:r>
      <w:r w:rsidR="00A6029D" w:rsidRPr="00413148">
        <w:rPr>
          <w:i/>
          <w:iCs/>
        </w:rPr>
        <w:t>See supra</w:t>
      </w:r>
      <w:r w:rsidR="00A6029D" w:rsidRPr="00413148">
        <w:t xml:space="preserve"> note </w:t>
      </w:r>
      <w:r w:rsidR="00DC51D5" w:rsidRPr="00413148">
        <w:t>61</w:t>
      </w:r>
      <w:r w:rsidR="00A6029D" w:rsidRPr="00413148">
        <w:t>.</w:t>
      </w:r>
    </w:p>
  </w:footnote>
  <w:footnote w:id="66">
    <w:p w14:paraId="403944B9" w14:textId="21A448E5" w:rsidR="007427E6" w:rsidRPr="00413148" w:rsidRDefault="007427E6" w:rsidP="00166DFD">
      <w:pPr>
        <w:pStyle w:val="FootnoteText"/>
        <w:ind w:left="0"/>
        <w:rPr>
          <w:i/>
        </w:rPr>
      </w:pPr>
      <w:r w:rsidRPr="00413148">
        <w:rPr>
          <w:rStyle w:val="FootnoteReference"/>
        </w:rPr>
        <w:footnoteRef/>
      </w:r>
      <w:r w:rsidRPr="00413148">
        <w:t xml:space="preserve"> </w:t>
      </w:r>
      <w:r w:rsidR="00696EBE" w:rsidRPr="00413148">
        <w:t>N.Y.C. Admin. Code § 8-107(15)(a)</w:t>
      </w:r>
      <w:r w:rsidR="004F468F" w:rsidRPr="00413148">
        <w:t>;</w:t>
      </w:r>
      <w:r w:rsidR="0038396E" w:rsidRPr="00413148">
        <w:t xml:space="preserve"> </w:t>
      </w:r>
      <w:r w:rsidR="00AF3C0C" w:rsidRPr="00413148">
        <w:rPr>
          <w:i/>
          <w:iCs/>
        </w:rPr>
        <w:t xml:space="preserve">see also </w:t>
      </w:r>
      <w:proofErr w:type="gramStart"/>
      <w:r w:rsidR="00AF3C0C" w:rsidRPr="00413148">
        <w:rPr>
          <w:i/>
          <w:iCs/>
        </w:rPr>
        <w:t>In</w:t>
      </w:r>
      <w:proofErr w:type="gramEnd"/>
      <w:r w:rsidR="00AF3C0C" w:rsidRPr="00413148">
        <w:rPr>
          <w:i/>
          <w:iCs/>
        </w:rPr>
        <w:t xml:space="preserve"> re Comm’n on Human Rights ex rel. </w:t>
      </w:r>
      <w:proofErr w:type="gramStart"/>
      <w:r w:rsidR="00AF3C0C" w:rsidRPr="00413148">
        <w:rPr>
          <w:i/>
          <w:iCs/>
        </w:rPr>
        <w:t>Blue</w:t>
      </w:r>
      <w:proofErr w:type="gramEnd"/>
      <w:r w:rsidR="00AF3C0C" w:rsidRPr="00413148">
        <w:rPr>
          <w:i/>
          <w:iCs/>
        </w:rPr>
        <w:t xml:space="preserve"> v. Jovic</w:t>
      </w:r>
      <w:r w:rsidR="00AF3C0C" w:rsidRPr="00413148">
        <w:t xml:space="preserve">, OATH Index No. 1624/16, </w:t>
      </w:r>
      <w:r w:rsidR="004F468F" w:rsidRPr="00413148">
        <w:t xml:space="preserve">Comm’n </w:t>
      </w:r>
      <w:r w:rsidR="00AF3C0C" w:rsidRPr="00413148">
        <w:t>Dec. &amp; Order, 2017 WL 2491797, at *18 (May 26, 2017)</w:t>
      </w:r>
      <w:r w:rsidR="007347B3" w:rsidRPr="00413148">
        <w:t>,</w:t>
      </w:r>
      <w:r w:rsidR="00AF3C0C" w:rsidRPr="00413148">
        <w:rPr>
          <w:i/>
          <w:iCs/>
        </w:rPr>
        <w:t xml:space="preserve"> aff’d sub nom. Jovic v. N.Y.C. Comm’n on Human Rights</w:t>
      </w:r>
      <w:r w:rsidR="00AF3C0C" w:rsidRPr="00413148">
        <w:t xml:space="preserve">, Index No. 100838/2017 (Sup. Ct. N.Y. </w:t>
      </w:r>
      <w:proofErr w:type="spellStart"/>
      <w:r w:rsidR="00AF3C0C" w:rsidRPr="00413148">
        <w:t>C</w:t>
      </w:r>
      <w:r w:rsidR="00675B45" w:rsidRPr="00413148">
        <w:t>n</w:t>
      </w:r>
      <w:r w:rsidR="00AF3C0C" w:rsidRPr="00413148">
        <w:t>ty</w:t>
      </w:r>
      <w:proofErr w:type="spellEnd"/>
      <w:r w:rsidR="00AF3C0C" w:rsidRPr="00413148">
        <w:t xml:space="preserve">. Feb. 14, 2018) (“Consistent with §§ 8-102 </w:t>
      </w:r>
      <w:r w:rsidR="00FE71B0" w:rsidRPr="00413148">
        <w:t>. . .</w:t>
      </w:r>
      <w:r w:rsidR="00AF3C0C" w:rsidRPr="00413148">
        <w:t xml:space="preserve"> and 8-107(15)(a) of the NYCHRL, Respondent . . . shall bear the full cost of providing the reasonable accommodation and is prohibited from passing directly or indirectly any portion of that expense onto Complainants through any fee, rent increase, or other charge.”).</w:t>
      </w:r>
    </w:p>
  </w:footnote>
  <w:footnote w:id="67">
    <w:p w14:paraId="700E5009" w14:textId="4EFAC5A8" w:rsidR="00D51C00" w:rsidRPr="00413148" w:rsidRDefault="00D51C00" w:rsidP="00166DFD">
      <w:pPr>
        <w:pStyle w:val="FootnoteText"/>
        <w:ind w:left="0"/>
      </w:pPr>
      <w:r w:rsidRPr="00413148">
        <w:rPr>
          <w:rStyle w:val="FootnoteReference"/>
        </w:rPr>
        <w:footnoteRef/>
      </w:r>
      <w:r w:rsidRPr="00413148">
        <w:t xml:space="preserve"> </w:t>
      </w:r>
      <w:r w:rsidRPr="00413148">
        <w:rPr>
          <w:i/>
          <w:iCs/>
        </w:rPr>
        <w:t>See Phillips v. City of New York</w:t>
      </w:r>
      <w:r w:rsidRPr="00413148">
        <w:t xml:space="preserve">, </w:t>
      </w:r>
      <w:r w:rsidR="00955141" w:rsidRPr="00413148">
        <w:t xml:space="preserve">66 </w:t>
      </w:r>
      <w:r w:rsidRPr="00413148">
        <w:t xml:space="preserve">A.D.3d 170, 182 n.12 (1st </w:t>
      </w:r>
      <w:proofErr w:type="spellStart"/>
      <w:r w:rsidRPr="00413148">
        <w:t>Dep’t</w:t>
      </w:r>
      <w:proofErr w:type="spellEnd"/>
      <w:r w:rsidRPr="00413148">
        <w:t xml:space="preserve"> 2009)</w:t>
      </w:r>
      <w:r w:rsidR="00707AF0" w:rsidRPr="00413148">
        <w:t xml:space="preserve">, </w:t>
      </w:r>
      <w:r w:rsidR="00707AF0" w:rsidRPr="00413148" w:rsidDel="000800D3">
        <w:rPr>
          <w:i/>
          <w:iCs/>
        </w:rPr>
        <w:t>overruled on other grounds by</w:t>
      </w:r>
      <w:r w:rsidR="00707AF0" w:rsidRPr="00413148" w:rsidDel="000800D3">
        <w:t xml:space="preserve"> </w:t>
      </w:r>
      <w:r w:rsidR="00707AF0" w:rsidRPr="00413148" w:rsidDel="000800D3">
        <w:rPr>
          <w:i/>
          <w:iCs/>
        </w:rPr>
        <w:t xml:space="preserve">Jacobsen v. N.Y.C. Health &amp; </w:t>
      </w:r>
      <w:proofErr w:type="spellStart"/>
      <w:r w:rsidR="00707AF0" w:rsidRPr="00413148" w:rsidDel="000800D3">
        <w:rPr>
          <w:i/>
          <w:iCs/>
        </w:rPr>
        <w:t>Hosps</w:t>
      </w:r>
      <w:proofErr w:type="spellEnd"/>
      <w:r w:rsidR="00707AF0" w:rsidRPr="00413148" w:rsidDel="000800D3">
        <w:rPr>
          <w:i/>
          <w:iCs/>
        </w:rPr>
        <w:t>. Corp.</w:t>
      </w:r>
      <w:r w:rsidR="00707AF0" w:rsidRPr="00413148" w:rsidDel="000800D3">
        <w:t>, 22 N.Y.3d 824 (2014)</w:t>
      </w:r>
      <w:r w:rsidRPr="00413148">
        <w:t xml:space="preserve"> (“‘Accommodation,’ as distinct from ‘reasonable accommodation’ is not a defined term, but from its use i</w:t>
      </w:r>
      <w:r w:rsidR="002239E3" w:rsidRPr="00413148">
        <w:t>n</w:t>
      </w:r>
      <w:r w:rsidRPr="00413148">
        <w:t xml:space="preserve"> both sections 8-102 . . . and 8-107(15), it is clear that the term is intended to connote any action, modification, or forbearance that helps ameliorate </w:t>
      </w:r>
      <w:r w:rsidRPr="00413148">
        <w:rPr>
          <w:i/>
          <w:iCs/>
        </w:rPr>
        <w:t>at least to some extent</w:t>
      </w:r>
      <w:r w:rsidRPr="00413148">
        <w:t xml:space="preserve"> a need created by a disability.”)</w:t>
      </w:r>
      <w:r w:rsidR="003503E1" w:rsidRPr="00413148">
        <w:t>; N.Y.C. Admin. Code § 8-</w:t>
      </w:r>
      <w:r w:rsidR="00503239" w:rsidRPr="00413148">
        <w:t>102 (</w:t>
      </w:r>
      <w:r w:rsidR="00AC1F5D" w:rsidRPr="00413148">
        <w:t>defining</w:t>
      </w:r>
      <w:r w:rsidR="00503239" w:rsidRPr="00413148">
        <w:t xml:space="preserve"> reasonable accommodation).</w:t>
      </w:r>
    </w:p>
  </w:footnote>
  <w:footnote w:id="68">
    <w:p w14:paraId="70215982" w14:textId="48A4121E" w:rsidR="00AA6A52" w:rsidRPr="00413148" w:rsidRDefault="00AA6A52" w:rsidP="00166DFD">
      <w:pPr>
        <w:pStyle w:val="FootnoteText"/>
        <w:ind w:left="0"/>
      </w:pPr>
      <w:r w:rsidRPr="00413148">
        <w:rPr>
          <w:rStyle w:val="FootnoteReference"/>
        </w:rPr>
        <w:footnoteRef/>
      </w:r>
      <w:r w:rsidRPr="00413148">
        <w:t xml:space="preserve"> Under the NYCHRL</w:t>
      </w:r>
      <w:r w:rsidR="00AC1F5D" w:rsidRPr="00413148">
        <w:t>,</w:t>
      </w:r>
      <w:r w:rsidRPr="00413148">
        <w:t xml:space="preserve"> a person need only show that the presence of the emotional support animal in some way alleviates symptoms of their disability in order to justify their request for the accommodation. They need not show that the animal is “necessary” to their use and enjoyment of the residential unit. </w:t>
      </w:r>
      <w:r w:rsidRPr="00413148">
        <w:rPr>
          <w:i/>
        </w:rPr>
        <w:t xml:space="preserve">In re Comm’n on Human Rights ex rel. L.D. v. </w:t>
      </w:r>
      <w:proofErr w:type="spellStart"/>
      <w:r w:rsidRPr="00413148">
        <w:rPr>
          <w:i/>
        </w:rPr>
        <w:t>Riverbay</w:t>
      </w:r>
      <w:proofErr w:type="spellEnd"/>
      <w:r w:rsidRPr="00413148">
        <w:rPr>
          <w:i/>
        </w:rPr>
        <w:t xml:space="preserve"> Corp.</w:t>
      </w:r>
      <w:r w:rsidRPr="00413148">
        <w:t xml:space="preserve">, OATH Index No. 1300/11, </w:t>
      </w:r>
      <w:r w:rsidR="00C056C4" w:rsidRPr="00413148">
        <w:t xml:space="preserve">OATH </w:t>
      </w:r>
      <w:r w:rsidRPr="00413148">
        <w:t>Rep</w:t>
      </w:r>
      <w:r w:rsidR="00F8632E" w:rsidRPr="00413148">
        <w:t>ort</w:t>
      </w:r>
      <w:r w:rsidRPr="00413148">
        <w:t xml:space="preserve"> &amp; Rec</w:t>
      </w:r>
      <w:r w:rsidR="00F8632E" w:rsidRPr="00413148">
        <w:t>ommendation</w:t>
      </w:r>
      <w:r w:rsidR="00C04E44" w:rsidRPr="00413148">
        <w:t>,</w:t>
      </w:r>
      <w:r w:rsidRPr="00413148">
        <w:t xml:space="preserve"> 2011 WL 12687937, at *11-12 (Aug. 26, 2011), </w:t>
      </w:r>
      <w:r w:rsidRPr="00413148">
        <w:rPr>
          <w:i/>
        </w:rPr>
        <w:t>aff’d</w:t>
      </w:r>
      <w:r w:rsidR="005E75F9" w:rsidRPr="00413148">
        <w:rPr>
          <w:i/>
        </w:rPr>
        <w:t>,</w:t>
      </w:r>
      <w:r w:rsidRPr="00413148">
        <w:rPr>
          <w:i/>
        </w:rPr>
        <w:t xml:space="preserve"> </w:t>
      </w:r>
      <w:r w:rsidR="00A505CE" w:rsidRPr="00413148">
        <w:rPr>
          <w:i/>
        </w:rPr>
        <w:t xml:space="preserve">Comm’n </w:t>
      </w:r>
      <w:r w:rsidRPr="00413148">
        <w:t>Dec. &amp; Order, 2012 WL 1657555 (Jan. 9, 2012).</w:t>
      </w:r>
    </w:p>
  </w:footnote>
  <w:footnote w:id="69">
    <w:p w14:paraId="4A73D453" w14:textId="4AF44DCE" w:rsidR="002577D3" w:rsidRPr="00413148" w:rsidRDefault="002577D3" w:rsidP="00166DFD">
      <w:pPr>
        <w:pStyle w:val="FootnoteText"/>
        <w:ind w:left="0"/>
      </w:pPr>
      <w:r w:rsidRPr="00413148">
        <w:rPr>
          <w:rStyle w:val="FootnoteReference"/>
        </w:rPr>
        <w:footnoteRef/>
      </w:r>
      <w:r w:rsidRPr="00413148">
        <w:t xml:space="preserve"> </w:t>
      </w:r>
      <w:r w:rsidR="008C2E27" w:rsidRPr="00413148">
        <w:rPr>
          <w:i/>
          <w:iCs/>
        </w:rPr>
        <w:t>See infra</w:t>
      </w:r>
      <w:r w:rsidR="008C2E27" w:rsidRPr="00413148">
        <w:t xml:space="preserve"> </w:t>
      </w:r>
      <w:r w:rsidR="005E00E1" w:rsidRPr="00413148">
        <w:t xml:space="preserve">Part </w:t>
      </w:r>
      <w:r w:rsidR="008C2E27" w:rsidRPr="00413148">
        <w:t>(II)(A)(iii)(</w:t>
      </w:r>
      <w:r w:rsidR="00DD06CB" w:rsidRPr="00413148">
        <w:t>b</w:t>
      </w:r>
      <w:r w:rsidR="008C2E27" w:rsidRPr="00413148">
        <w:t>) for a discussion of service animals in the employment context.</w:t>
      </w:r>
    </w:p>
  </w:footnote>
  <w:footnote w:id="70">
    <w:p w14:paraId="58A556FB" w14:textId="222469EC" w:rsidR="002577D3" w:rsidRPr="00413148" w:rsidRDefault="002577D3" w:rsidP="00166DFD">
      <w:pPr>
        <w:pStyle w:val="FootnoteText"/>
        <w:ind w:left="0"/>
      </w:pPr>
      <w:r w:rsidRPr="00413148">
        <w:rPr>
          <w:rStyle w:val="FootnoteReference"/>
        </w:rPr>
        <w:footnoteRef/>
      </w:r>
      <w:r w:rsidRPr="00413148">
        <w:t xml:space="preserve"> </w:t>
      </w:r>
      <w:r w:rsidR="0028410C" w:rsidRPr="00413148">
        <w:rPr>
          <w:i/>
          <w:iCs/>
        </w:rPr>
        <w:t>See infra</w:t>
      </w:r>
      <w:r w:rsidR="008C2E27" w:rsidRPr="00413148">
        <w:t xml:space="preserve"> </w:t>
      </w:r>
      <w:r w:rsidR="00BD038A" w:rsidRPr="00413148">
        <w:t xml:space="preserve">Part </w:t>
      </w:r>
      <w:r w:rsidR="008C2E27" w:rsidRPr="00413148">
        <w:t>II(B)(ii)(</w:t>
      </w:r>
      <w:r w:rsidR="00E826F4" w:rsidRPr="00413148">
        <w:t>b</w:t>
      </w:r>
      <w:r w:rsidR="008C2E27" w:rsidRPr="00413148">
        <w:t>) for a discussion of service animals in the public accommodation context.</w:t>
      </w:r>
    </w:p>
  </w:footnote>
  <w:footnote w:id="71">
    <w:p w14:paraId="5A06CB6D" w14:textId="6A0059E0" w:rsidR="00C76120" w:rsidRPr="00413148" w:rsidRDefault="00C76120" w:rsidP="00166DFD">
      <w:pPr>
        <w:pStyle w:val="FootnoteText"/>
        <w:ind w:left="0"/>
      </w:pPr>
      <w:r w:rsidRPr="00413148">
        <w:rPr>
          <w:rStyle w:val="FootnoteReference"/>
        </w:rPr>
        <w:footnoteRef/>
      </w:r>
      <w:r w:rsidRPr="00413148">
        <w:t xml:space="preserve"> </w:t>
      </w:r>
      <w:r w:rsidRPr="00413148">
        <w:rPr>
          <w:i/>
          <w:iCs/>
        </w:rPr>
        <w:t>See infra</w:t>
      </w:r>
      <w:r w:rsidRPr="00413148">
        <w:t xml:space="preserve"> </w:t>
      </w:r>
      <w:r w:rsidR="00BD038A" w:rsidRPr="00413148">
        <w:t xml:space="preserve">Part </w:t>
      </w:r>
      <w:r w:rsidR="002577D3" w:rsidRPr="00413148">
        <w:t>II(</w:t>
      </w:r>
      <w:r w:rsidR="0028410C" w:rsidRPr="00413148">
        <w:t>C</w:t>
      </w:r>
      <w:r w:rsidR="002577D3" w:rsidRPr="00413148">
        <w:t>)(iii)(</w:t>
      </w:r>
      <w:r w:rsidR="00E826F4" w:rsidRPr="00413148">
        <w:t>c</w:t>
      </w:r>
      <w:r w:rsidR="002577D3" w:rsidRPr="00413148">
        <w:t xml:space="preserve">) for a discussion of service animals and emotional support animals in </w:t>
      </w:r>
      <w:r w:rsidR="008C2E27" w:rsidRPr="00413148">
        <w:t xml:space="preserve">the </w:t>
      </w:r>
      <w:r w:rsidR="002577D3" w:rsidRPr="00413148">
        <w:t>housing</w:t>
      </w:r>
      <w:r w:rsidR="008C2E27" w:rsidRPr="00413148">
        <w:t xml:space="preserve"> context</w:t>
      </w:r>
      <w:r w:rsidR="002577D3" w:rsidRPr="00413148">
        <w:t>.</w:t>
      </w:r>
    </w:p>
  </w:footnote>
  <w:footnote w:id="72">
    <w:p w14:paraId="51B6F22F" w14:textId="77777777" w:rsidR="00143BB6" w:rsidRPr="00413148" w:rsidRDefault="00143BB6" w:rsidP="00166DFD">
      <w:pPr>
        <w:pStyle w:val="FootnoteText"/>
        <w:ind w:left="0"/>
      </w:pPr>
      <w:r w:rsidRPr="00413148">
        <w:rPr>
          <w:rStyle w:val="FootnoteReference"/>
        </w:rPr>
        <w:footnoteRef/>
      </w:r>
      <w:r w:rsidRPr="00413148">
        <w:t xml:space="preserve"> Local Law No. 59 § 1 (2018); N.Y.C. Admin. Code § 8-10</w:t>
      </w:r>
      <w:r w:rsidR="000C5024" w:rsidRPr="00413148">
        <w:t>7</w:t>
      </w:r>
      <w:r w:rsidR="00A57BC8" w:rsidRPr="00413148">
        <w:t>(28)</w:t>
      </w:r>
      <w:r w:rsidRPr="00413148">
        <w:t>.</w:t>
      </w:r>
      <w:r w:rsidR="00706CE4" w:rsidRPr="00413148">
        <w:t xml:space="preserve"> </w:t>
      </w:r>
    </w:p>
  </w:footnote>
  <w:footnote w:id="73">
    <w:p w14:paraId="7275C9E4" w14:textId="433BDF3A" w:rsidR="00143BB6" w:rsidRPr="00413148" w:rsidRDefault="00143BB6" w:rsidP="00166DFD">
      <w:pPr>
        <w:pStyle w:val="FootnoteText"/>
        <w:ind w:left="0"/>
      </w:pPr>
      <w:r w:rsidRPr="00413148">
        <w:rPr>
          <w:rStyle w:val="FootnoteReference"/>
        </w:rPr>
        <w:footnoteRef/>
      </w:r>
      <w:r w:rsidRPr="00413148">
        <w:t xml:space="preserve"> N.Y.C. Admin. Code §</w:t>
      </w:r>
      <w:r w:rsidR="006D5EE2" w:rsidRPr="00413148">
        <w:t>§</w:t>
      </w:r>
      <w:r w:rsidRPr="00413148">
        <w:t xml:space="preserve"> 8-102</w:t>
      </w:r>
      <w:r w:rsidR="001F7394" w:rsidRPr="00413148">
        <w:t>,</w:t>
      </w:r>
      <w:r w:rsidR="006D5EE2" w:rsidRPr="00413148">
        <w:t xml:space="preserve"> 8-107(28)</w:t>
      </w:r>
      <w:r w:rsidRPr="00413148">
        <w:t>.</w:t>
      </w:r>
      <w:r w:rsidR="009E4761" w:rsidRPr="00413148">
        <w:t xml:space="preserve"> </w:t>
      </w:r>
      <w:r w:rsidR="009E4761" w:rsidRPr="00413148">
        <w:rPr>
          <w:i/>
          <w:iCs/>
        </w:rPr>
        <w:t>See</w:t>
      </w:r>
      <w:r w:rsidR="00932154" w:rsidRPr="00413148">
        <w:rPr>
          <w:i/>
          <w:iCs/>
        </w:rPr>
        <w:t xml:space="preserve"> infra</w:t>
      </w:r>
      <w:r w:rsidR="00932154" w:rsidRPr="00413148">
        <w:t xml:space="preserve"> </w:t>
      </w:r>
      <w:r w:rsidR="00BD038A" w:rsidRPr="00413148">
        <w:t xml:space="preserve">Part </w:t>
      </w:r>
      <w:r w:rsidR="00D815C6" w:rsidRPr="00413148">
        <w:t>I(</w:t>
      </w:r>
      <w:r w:rsidR="00CC3FE0" w:rsidRPr="00413148">
        <w:t>D</w:t>
      </w:r>
      <w:r w:rsidR="00CC141D" w:rsidRPr="00413148">
        <w:t>)(</w:t>
      </w:r>
      <w:r w:rsidR="00CC3FE0" w:rsidRPr="00413148">
        <w:t>ii</w:t>
      </w:r>
      <w:r w:rsidR="005549D5" w:rsidRPr="00413148">
        <w:t>)(</w:t>
      </w:r>
      <w:r w:rsidR="00F11E4A" w:rsidRPr="00413148">
        <w:t>h</w:t>
      </w:r>
      <w:r w:rsidR="00DB750D" w:rsidRPr="00413148">
        <w:t xml:space="preserve">) for </w:t>
      </w:r>
      <w:r w:rsidR="00CD3F09" w:rsidRPr="00413148">
        <w:t>greater detail about failure to engage in a cooperative dialogue.</w:t>
      </w:r>
    </w:p>
  </w:footnote>
  <w:footnote w:id="74">
    <w:p w14:paraId="2BCF2159" w14:textId="77777777" w:rsidR="00143BB6" w:rsidRPr="00413148" w:rsidRDefault="00143BB6" w:rsidP="00166DFD">
      <w:pPr>
        <w:pStyle w:val="FootnoteText"/>
        <w:ind w:left="0"/>
      </w:pPr>
      <w:r w:rsidRPr="00413148">
        <w:rPr>
          <w:rStyle w:val="FootnoteReference"/>
        </w:rPr>
        <w:footnoteRef/>
      </w:r>
      <w:r w:rsidRPr="00413148">
        <w:t xml:space="preserve"> </w:t>
      </w:r>
      <w:r w:rsidR="00A42890" w:rsidRPr="00413148">
        <w:t>N</w:t>
      </w:r>
      <w:r w:rsidR="00992976" w:rsidRPr="00413148">
        <w:t>.Y.C. Admin. Code § 8-102.</w:t>
      </w:r>
      <w:r w:rsidRPr="00413148">
        <w:t xml:space="preserve"> </w:t>
      </w:r>
    </w:p>
  </w:footnote>
  <w:footnote w:id="75">
    <w:p w14:paraId="443F0E00" w14:textId="77777777" w:rsidR="00C542F5" w:rsidRPr="00413148" w:rsidRDefault="00C542F5" w:rsidP="00166DFD">
      <w:pPr>
        <w:pStyle w:val="FootnoteText"/>
        <w:ind w:left="0"/>
      </w:pPr>
      <w:r w:rsidRPr="00413148">
        <w:rPr>
          <w:rStyle w:val="FootnoteReference"/>
        </w:rPr>
        <w:footnoteRef/>
      </w:r>
      <w:r w:rsidRPr="00413148">
        <w:t xml:space="preserve"> </w:t>
      </w:r>
      <w:r w:rsidR="00992976" w:rsidRPr="00DE4836">
        <w:rPr>
          <w:i/>
          <w:iCs/>
        </w:rPr>
        <w:t>Id</w:t>
      </w:r>
      <w:r w:rsidR="00992976" w:rsidRPr="00413148">
        <w:rPr>
          <w:iCs/>
        </w:rPr>
        <w:t>.</w:t>
      </w:r>
    </w:p>
  </w:footnote>
  <w:footnote w:id="76">
    <w:p w14:paraId="4208F875" w14:textId="69814920" w:rsidR="00143BB6" w:rsidRPr="00413148" w:rsidRDefault="00143BB6" w:rsidP="00166DFD">
      <w:pPr>
        <w:pStyle w:val="FootnoteText"/>
        <w:ind w:left="0"/>
      </w:pPr>
      <w:r w:rsidRPr="00413148">
        <w:rPr>
          <w:rStyle w:val="FootnoteReference"/>
        </w:rPr>
        <w:footnoteRef/>
      </w:r>
      <w:r w:rsidRPr="00413148">
        <w:t xml:space="preserve"> </w:t>
      </w:r>
      <w:r w:rsidR="001F7394" w:rsidRPr="00413148">
        <w:rPr>
          <w:i/>
          <w:iCs/>
        </w:rPr>
        <w:t>Id.</w:t>
      </w:r>
      <w:r w:rsidRPr="00413148">
        <w:t xml:space="preserve"> § 8-107(15)(a).</w:t>
      </w:r>
    </w:p>
  </w:footnote>
  <w:footnote w:id="77">
    <w:p w14:paraId="6D306DE7" w14:textId="77CB7623" w:rsidR="00143BB6" w:rsidRPr="00413148" w:rsidRDefault="00143BB6" w:rsidP="00143BB6">
      <w:pPr>
        <w:spacing w:after="120" w:line="40" w:lineRule="atLeast"/>
        <w:rPr>
          <w:rFonts w:cs="Arial"/>
          <w:szCs w:val="32"/>
        </w:rPr>
      </w:pPr>
      <w:r w:rsidRPr="00413148">
        <w:rPr>
          <w:rStyle w:val="FootnoteReference"/>
          <w:rFonts w:cs="Arial"/>
          <w:szCs w:val="32"/>
        </w:rPr>
        <w:footnoteRef/>
      </w:r>
      <w:r w:rsidRPr="00413148">
        <w:rPr>
          <w:rFonts w:cs="Arial"/>
          <w:szCs w:val="32"/>
        </w:rPr>
        <w:t xml:space="preserve"> </w:t>
      </w:r>
      <w:r w:rsidRPr="00413148">
        <w:rPr>
          <w:rFonts w:cs="Arial"/>
          <w:i/>
          <w:szCs w:val="32"/>
        </w:rPr>
        <w:t xml:space="preserve">Hirschmann v. </w:t>
      </w:r>
      <w:proofErr w:type="spellStart"/>
      <w:r w:rsidRPr="00413148">
        <w:rPr>
          <w:rFonts w:cs="Arial"/>
          <w:i/>
          <w:szCs w:val="32"/>
        </w:rPr>
        <w:t>Hassapoyannes</w:t>
      </w:r>
      <w:proofErr w:type="spellEnd"/>
      <w:r w:rsidRPr="00413148">
        <w:rPr>
          <w:rFonts w:cs="Arial"/>
          <w:i/>
          <w:szCs w:val="32"/>
        </w:rPr>
        <w:t>,</w:t>
      </w:r>
      <w:r w:rsidRPr="00413148">
        <w:rPr>
          <w:rFonts w:cs="Arial"/>
          <w:szCs w:val="32"/>
        </w:rPr>
        <w:t xml:space="preserve"> 11 Misc. 3d 265, 270 (Sup. Ct. N.Y. </w:t>
      </w:r>
      <w:proofErr w:type="spellStart"/>
      <w:r w:rsidRPr="00413148">
        <w:rPr>
          <w:rFonts w:cs="Arial"/>
          <w:szCs w:val="32"/>
        </w:rPr>
        <w:t>C</w:t>
      </w:r>
      <w:r w:rsidR="00D93403" w:rsidRPr="00413148">
        <w:rPr>
          <w:rFonts w:cs="Arial"/>
          <w:szCs w:val="32"/>
        </w:rPr>
        <w:t>n</w:t>
      </w:r>
      <w:r w:rsidRPr="00413148">
        <w:rPr>
          <w:rFonts w:cs="Arial"/>
          <w:szCs w:val="32"/>
        </w:rPr>
        <w:t>ty</w:t>
      </w:r>
      <w:proofErr w:type="spellEnd"/>
      <w:r w:rsidRPr="00413148">
        <w:rPr>
          <w:rFonts w:cs="Arial"/>
          <w:szCs w:val="32"/>
        </w:rPr>
        <w:t>. 2005).</w:t>
      </w:r>
    </w:p>
  </w:footnote>
  <w:footnote w:id="78">
    <w:p w14:paraId="75F5291B" w14:textId="77777777" w:rsidR="002975C0" w:rsidRPr="00413148" w:rsidRDefault="002975C0" w:rsidP="00166DFD">
      <w:pPr>
        <w:pStyle w:val="FootnoteText"/>
        <w:ind w:left="0"/>
      </w:pPr>
      <w:r w:rsidRPr="00413148">
        <w:rPr>
          <w:rStyle w:val="FootnoteReference"/>
        </w:rPr>
        <w:footnoteRef/>
      </w:r>
      <w:r w:rsidRPr="00413148">
        <w:t xml:space="preserve"> </w:t>
      </w:r>
      <w:r w:rsidR="00E83BFA" w:rsidRPr="00413148">
        <w:rPr>
          <w:i/>
          <w:iCs/>
        </w:rPr>
        <w:t xml:space="preserve">See </w:t>
      </w:r>
      <w:r w:rsidR="00E83BFA" w:rsidRPr="00413148">
        <w:t>N.Y.C. Admin. Code § 8-107(5)</w:t>
      </w:r>
      <w:r w:rsidR="00D6336C" w:rsidRPr="00413148">
        <w:t>(m)</w:t>
      </w:r>
      <w:r w:rsidR="00E83BFA" w:rsidRPr="00413148">
        <w:t>.</w:t>
      </w:r>
    </w:p>
  </w:footnote>
  <w:footnote w:id="79">
    <w:p w14:paraId="5936EA1E" w14:textId="46EDF3A7" w:rsidR="00143BB6" w:rsidRPr="00DE4836" w:rsidRDefault="00143BB6" w:rsidP="00166DFD">
      <w:pPr>
        <w:pStyle w:val="FootnoteText"/>
        <w:ind w:left="0"/>
      </w:pPr>
      <w:r w:rsidRPr="00DE4836">
        <w:rPr>
          <w:rStyle w:val="FootnoteReference"/>
        </w:rPr>
        <w:footnoteRef/>
      </w:r>
      <w:r w:rsidRPr="00DE4836">
        <w:t xml:space="preserve"> </w:t>
      </w:r>
      <w:r w:rsidRPr="00DE4836">
        <w:rPr>
          <w:i/>
        </w:rPr>
        <w:t xml:space="preserve">Hirschmann v. </w:t>
      </w:r>
      <w:proofErr w:type="spellStart"/>
      <w:r w:rsidRPr="00DE4836">
        <w:rPr>
          <w:i/>
        </w:rPr>
        <w:t>Hassapoyannes</w:t>
      </w:r>
      <w:proofErr w:type="spellEnd"/>
      <w:r w:rsidRPr="00DE4836">
        <w:t xml:space="preserve">, 16 Misc. 3d 1014, 1018–20 (Sup. Ct. N.Y. </w:t>
      </w:r>
      <w:proofErr w:type="spellStart"/>
      <w:r w:rsidRPr="00DE4836">
        <w:t>C</w:t>
      </w:r>
      <w:r w:rsidR="00D93403" w:rsidRPr="00DE4836">
        <w:t>n</w:t>
      </w:r>
      <w:r w:rsidRPr="00DE4836">
        <w:t>ty</w:t>
      </w:r>
      <w:proofErr w:type="spellEnd"/>
      <w:r w:rsidRPr="00DE4836">
        <w:t xml:space="preserve">. 2007), </w:t>
      </w:r>
      <w:r w:rsidRPr="00DE4836">
        <w:rPr>
          <w:i/>
        </w:rPr>
        <w:t>aff</w:t>
      </w:r>
      <w:r w:rsidR="005C3C8F" w:rsidRPr="00DE4836">
        <w:rPr>
          <w:i/>
        </w:rPr>
        <w:t>’</w:t>
      </w:r>
      <w:r w:rsidRPr="00DE4836">
        <w:rPr>
          <w:i/>
        </w:rPr>
        <w:t>d</w:t>
      </w:r>
      <w:r w:rsidRPr="00DE4836">
        <w:t>, 859 N.Y.S.2d 150 (</w:t>
      </w:r>
      <w:r w:rsidR="00B9211B" w:rsidRPr="00DE4836">
        <w:t xml:space="preserve">1st </w:t>
      </w:r>
      <w:proofErr w:type="spellStart"/>
      <w:r w:rsidR="00B9211B" w:rsidRPr="00DE4836">
        <w:t>Dep’t</w:t>
      </w:r>
      <w:proofErr w:type="spellEnd"/>
      <w:r w:rsidR="00B9211B" w:rsidRPr="00DE4836">
        <w:t xml:space="preserve"> </w:t>
      </w:r>
      <w:r w:rsidRPr="00DE4836">
        <w:t>2008).</w:t>
      </w:r>
    </w:p>
  </w:footnote>
  <w:footnote w:id="80">
    <w:p w14:paraId="2AC05DBC" w14:textId="3F9FBD9A" w:rsidR="00143BB6" w:rsidRPr="00413148" w:rsidRDefault="00143BB6" w:rsidP="00166DFD">
      <w:pPr>
        <w:pStyle w:val="FootnoteText"/>
        <w:ind w:left="0"/>
      </w:pPr>
      <w:r w:rsidRPr="00DE4836">
        <w:rPr>
          <w:rStyle w:val="FootnoteReference"/>
        </w:rPr>
        <w:footnoteRef/>
      </w:r>
      <w:r w:rsidRPr="00DE4836">
        <w:t xml:space="preserve"> </w:t>
      </w:r>
      <w:r w:rsidRPr="00DE4836">
        <w:rPr>
          <w:i/>
        </w:rPr>
        <w:t>See Cruz v. Schriro</w:t>
      </w:r>
      <w:r w:rsidRPr="00DE4836">
        <w:t>, 51 Misc. 3d 1203(A)</w:t>
      </w:r>
      <w:r w:rsidR="008F0928" w:rsidRPr="00DE4836">
        <w:t>, at *11</w:t>
      </w:r>
      <w:r w:rsidRPr="00DE4836">
        <w:t xml:space="preserve"> (Sup. Ct. N.Y. </w:t>
      </w:r>
      <w:proofErr w:type="spellStart"/>
      <w:r w:rsidRPr="00DE4836">
        <w:t>C</w:t>
      </w:r>
      <w:r w:rsidR="00D93403" w:rsidRPr="00DE4836">
        <w:t>n</w:t>
      </w:r>
      <w:r w:rsidRPr="00DE4836">
        <w:t>ty</w:t>
      </w:r>
      <w:proofErr w:type="spellEnd"/>
      <w:r w:rsidRPr="00DE4836">
        <w:t>. 2016) (“[A]n employer is not obligated to provide a disabled employee with the specific accommodation that the employee requests or prefers...”).</w:t>
      </w:r>
    </w:p>
  </w:footnote>
  <w:footnote w:id="81">
    <w:p w14:paraId="30D8D129" w14:textId="5B4ADE9A" w:rsidR="00A11689" w:rsidRPr="00413148" w:rsidRDefault="00A11689" w:rsidP="00166DFD">
      <w:pPr>
        <w:pStyle w:val="FootnoteText"/>
        <w:ind w:left="0"/>
      </w:pPr>
      <w:r w:rsidRPr="00413148">
        <w:rPr>
          <w:rStyle w:val="FootnoteReference"/>
        </w:rPr>
        <w:footnoteRef/>
      </w:r>
      <w:r w:rsidRPr="00413148">
        <w:t xml:space="preserve"> </w:t>
      </w:r>
      <w:r w:rsidR="001B2C46" w:rsidRPr="00413148">
        <w:t>N.Y.C. Admin. Code § 8-107(2)</w:t>
      </w:r>
      <w:r w:rsidR="00D109BF" w:rsidRPr="00413148">
        <w:t xml:space="preserve"> (“</w:t>
      </w:r>
      <w:r w:rsidR="00792886" w:rsidRPr="00413148">
        <w:t xml:space="preserve">The term </w:t>
      </w:r>
      <w:r w:rsidR="005F37E8" w:rsidRPr="00413148">
        <w:t>‘</w:t>
      </w:r>
      <w:r w:rsidR="00792886" w:rsidRPr="00413148">
        <w:t>cooperative dialogue</w:t>
      </w:r>
      <w:r w:rsidR="005F37E8" w:rsidRPr="00413148">
        <w:t>’</w:t>
      </w:r>
      <w:r w:rsidR="00792886" w:rsidRPr="00413148">
        <w:t xml:space="preserve"> means the process by which a covered entity and a person entitled to an accommodation, or who may be entitled to an accommodation under the law, engage in good faith in a written or oral dialogue concerning the person’s accommodation needs; potential accommodations that may address the person’s accommodation needs, including alternatives to a requested accommodation; and the difficulties that such potential accommodations may pose for the covered entity.”</w:t>
      </w:r>
      <w:r w:rsidR="00986834" w:rsidRPr="00413148">
        <w:t>)</w:t>
      </w:r>
      <w:r w:rsidR="00BB2CA2" w:rsidRPr="00413148">
        <w:t xml:space="preserve">; </w:t>
      </w:r>
      <w:r w:rsidR="00BB2CA2" w:rsidRPr="00413148">
        <w:rPr>
          <w:i/>
          <w:iCs/>
        </w:rPr>
        <w:t>see also</w:t>
      </w:r>
      <w:r w:rsidR="00BB2CA2" w:rsidRPr="00413148">
        <w:t xml:space="preserve"> N.Y.C. Admin. Code § 8-107(28).</w:t>
      </w:r>
    </w:p>
  </w:footnote>
  <w:footnote w:id="82">
    <w:p w14:paraId="08DCDFE6" w14:textId="77777777" w:rsidR="00042E4C" w:rsidRPr="00413148" w:rsidRDefault="00042E4C" w:rsidP="00166DFD">
      <w:pPr>
        <w:pStyle w:val="FootnoteText"/>
        <w:ind w:left="0"/>
      </w:pPr>
      <w:r w:rsidRPr="00413148">
        <w:rPr>
          <w:rStyle w:val="FootnoteReference"/>
        </w:rPr>
        <w:footnoteRef/>
      </w:r>
      <w:r w:rsidRPr="00413148">
        <w:t xml:space="preserve"> It is a best practice for covered entities to have a written policy that they disseminate to all employees, residents, and, if </w:t>
      </w:r>
      <w:r w:rsidR="00210B12" w:rsidRPr="00413148">
        <w:t>practicable</w:t>
      </w:r>
      <w:r w:rsidRPr="00413148">
        <w:t xml:space="preserve"> for a place or provider of public accommodations, post the written policy in a conspic</w:t>
      </w:r>
      <w:r w:rsidR="00F0437F" w:rsidRPr="00413148">
        <w:t>u</w:t>
      </w:r>
      <w:r w:rsidRPr="00413148">
        <w:t>ous place the public has access to.</w:t>
      </w:r>
    </w:p>
  </w:footnote>
  <w:footnote w:id="83">
    <w:p w14:paraId="1C863168" w14:textId="6539558C" w:rsidR="00042E4C" w:rsidRPr="00413148" w:rsidRDefault="00042E4C" w:rsidP="00166DFD">
      <w:pPr>
        <w:pStyle w:val="FootnoteText"/>
        <w:ind w:left="0"/>
      </w:pPr>
      <w:r w:rsidRPr="00413148">
        <w:rPr>
          <w:rStyle w:val="FootnoteReference"/>
        </w:rPr>
        <w:footnoteRef/>
      </w:r>
      <w:r w:rsidRPr="00413148">
        <w:t xml:space="preserve"> </w:t>
      </w:r>
      <w:r w:rsidRPr="00413148">
        <w:rPr>
          <w:i/>
        </w:rPr>
        <w:t>See Logan v. Matveevskii</w:t>
      </w:r>
      <w:r w:rsidRPr="00413148">
        <w:t>, 57 F. Supp. 3d 234</w:t>
      </w:r>
      <w:r w:rsidR="002F3819" w:rsidRPr="00413148">
        <w:t>, 257</w:t>
      </w:r>
      <w:r w:rsidRPr="00413148">
        <w:t xml:space="preserve"> (S.D.N.Y. 2014) (finding that under the Fair Housing Act, a refusal of a request for a reasonable accommodation can be actual or constructive, and therefore an indeterminate delay has the same effect as an outright denial).</w:t>
      </w:r>
    </w:p>
  </w:footnote>
  <w:footnote w:id="84">
    <w:p w14:paraId="632214C2" w14:textId="19C89359" w:rsidR="00042E4C" w:rsidRPr="00413148" w:rsidRDefault="00042E4C" w:rsidP="00166DFD">
      <w:pPr>
        <w:pStyle w:val="FootnoteText"/>
        <w:ind w:left="0"/>
      </w:pPr>
      <w:r w:rsidRPr="00413148">
        <w:rPr>
          <w:rStyle w:val="FootnoteReference"/>
        </w:rPr>
        <w:footnoteRef/>
      </w:r>
      <w:r w:rsidRPr="00413148">
        <w:t xml:space="preserve"> Local Law No. 59 § 2 (2018); N.Y.C. Admin. Code § 8-107(28)(d)</w:t>
      </w:r>
      <w:r w:rsidR="00E05244" w:rsidRPr="00413148">
        <w:t xml:space="preserve"> </w:t>
      </w:r>
      <w:r w:rsidR="00E60BD5" w:rsidRPr="00413148">
        <w:t>(“</w:t>
      </w:r>
      <w:r w:rsidR="00B550FC" w:rsidRPr="00413148">
        <w:t xml:space="preserve">Upon reaching a final determination at the conclusion of a cooperative dialogue pursuant to </w:t>
      </w:r>
      <w:r w:rsidR="00F92C00" w:rsidRPr="00413148">
        <w:t>[subsection 28</w:t>
      </w:r>
      <w:r w:rsidR="00484D59" w:rsidRPr="00413148">
        <w:t>]</w:t>
      </w:r>
      <w:r w:rsidR="007509DD" w:rsidRPr="00413148">
        <w:t xml:space="preserve"> . . . </w:t>
      </w:r>
      <w:r w:rsidR="009B7DEE" w:rsidRPr="00413148">
        <w:t>[</w:t>
      </w:r>
      <w:r w:rsidR="007509DD" w:rsidRPr="00413148">
        <w:t>housing providers and employers</w:t>
      </w:r>
      <w:r w:rsidR="009B7DEE" w:rsidRPr="00413148">
        <w:t>]</w:t>
      </w:r>
      <w:r w:rsidR="00B550FC" w:rsidRPr="00413148">
        <w:t xml:space="preserve"> shall provide any person requesting an accommodation who participated in the cooperative dialogue with a written final determination identifying any accommodation granted or denied.”</w:t>
      </w:r>
      <w:r w:rsidR="00A919CC" w:rsidRPr="00413148">
        <w:t>)</w:t>
      </w:r>
      <w:r w:rsidR="007C4CD8" w:rsidRPr="00413148">
        <w:t>.</w:t>
      </w:r>
      <w:r w:rsidRPr="00413148">
        <w:t xml:space="preserve"> </w:t>
      </w:r>
    </w:p>
  </w:footnote>
  <w:footnote w:id="85">
    <w:p w14:paraId="2D83363D" w14:textId="080302AD" w:rsidR="00042E4C" w:rsidRPr="00413148" w:rsidRDefault="00042E4C" w:rsidP="00166DFD">
      <w:pPr>
        <w:pStyle w:val="FootnoteText"/>
        <w:ind w:left="0"/>
      </w:pPr>
      <w:r w:rsidRPr="00413148">
        <w:rPr>
          <w:rStyle w:val="FootnoteReference"/>
        </w:rPr>
        <w:footnoteRef/>
      </w:r>
      <w:r w:rsidR="190D02A4" w:rsidRPr="00413148">
        <w:t xml:space="preserve"> </w:t>
      </w:r>
      <w:r w:rsidR="00CB7011" w:rsidRPr="00413148">
        <w:rPr>
          <w:i/>
          <w:iCs/>
        </w:rPr>
        <w:t>See</w:t>
      </w:r>
      <w:r w:rsidR="00CB7011" w:rsidRPr="00413148">
        <w:t xml:space="preserve"> N.Y.C. Admin. Code §§ 8-107</w:t>
      </w:r>
      <w:r w:rsidR="000A6E73" w:rsidRPr="00413148">
        <w:t>(1),</w:t>
      </w:r>
      <w:r w:rsidR="00AA717C" w:rsidRPr="00413148">
        <w:t>(4),(5),</w:t>
      </w:r>
      <w:r w:rsidR="00A15FB7" w:rsidRPr="00413148">
        <w:t>(15)</w:t>
      </w:r>
      <w:r w:rsidR="000A6E73" w:rsidRPr="00413148">
        <w:t>; 8-130</w:t>
      </w:r>
      <w:r w:rsidR="00992DFE" w:rsidRPr="00413148">
        <w:t>.</w:t>
      </w:r>
    </w:p>
  </w:footnote>
  <w:footnote w:id="86">
    <w:p w14:paraId="15AAF6D6" w14:textId="6093A24C" w:rsidR="009434FF" w:rsidRPr="00413148" w:rsidRDefault="009434FF" w:rsidP="00166DFD">
      <w:pPr>
        <w:pStyle w:val="FootnoteText"/>
        <w:ind w:left="0"/>
      </w:pPr>
      <w:r w:rsidRPr="00413148">
        <w:rPr>
          <w:rStyle w:val="FootnoteReference"/>
        </w:rPr>
        <w:footnoteRef/>
      </w:r>
      <w:r w:rsidRPr="00413148">
        <w:t xml:space="preserve"> See</w:t>
      </w:r>
      <w:r w:rsidRPr="00413148">
        <w:rPr>
          <w:iCs/>
        </w:rPr>
        <w:t>,</w:t>
      </w:r>
      <w:r w:rsidRPr="00413148">
        <w:t xml:space="preserve"> e.g.</w:t>
      </w:r>
      <w:r w:rsidRPr="00413148">
        <w:rPr>
          <w:iCs/>
        </w:rPr>
        <w:t>,</w:t>
      </w:r>
      <w:r w:rsidRPr="00413148">
        <w:t xml:space="preserve"> In re Comm’n on Human Rights ex rel. Rose v. </w:t>
      </w:r>
      <w:proofErr w:type="spellStart"/>
      <w:r w:rsidRPr="00413148">
        <w:t>Riverbay</w:t>
      </w:r>
      <w:proofErr w:type="spellEnd"/>
      <w:r w:rsidRPr="00413148">
        <w:t xml:space="preserve"> Corp., OATH Index No. 1831/10, </w:t>
      </w:r>
      <w:r w:rsidR="00FE0F64" w:rsidRPr="00413148">
        <w:t xml:space="preserve">Comm’n </w:t>
      </w:r>
      <w:r w:rsidRPr="00413148">
        <w:t>Dec. &amp; Order, 2010 WL 8625897, at *2 (Nov. 1, 2010)</w:t>
      </w:r>
      <w:r w:rsidR="00EB4473" w:rsidRPr="00413148">
        <w:t>,</w:t>
      </w:r>
      <w:r w:rsidRPr="00413148">
        <w:t xml:space="preserve"> </w:t>
      </w:r>
      <w:r w:rsidR="002D5B49" w:rsidRPr="00413148">
        <w:rPr>
          <w:rFonts w:eastAsia="Arial"/>
          <w:color w:val="000000"/>
        </w:rPr>
        <w:t xml:space="preserve">modified on penalty sub nom. </w:t>
      </w:r>
      <w:proofErr w:type="spellStart"/>
      <w:r w:rsidR="002D5B49" w:rsidRPr="00413148">
        <w:rPr>
          <w:rFonts w:eastAsia="Arial"/>
          <w:color w:val="000000"/>
        </w:rPr>
        <w:t>Riverbay</w:t>
      </w:r>
      <w:proofErr w:type="spellEnd"/>
      <w:r w:rsidR="002D5B49" w:rsidRPr="00413148">
        <w:rPr>
          <w:rFonts w:eastAsia="Arial"/>
          <w:color w:val="000000"/>
        </w:rPr>
        <w:t xml:space="preserve"> Corp. v. NYC Comm</w:t>
      </w:r>
      <w:r w:rsidR="00423318" w:rsidRPr="00413148">
        <w:rPr>
          <w:rFonts w:eastAsia="Arial"/>
          <w:color w:val="000000"/>
        </w:rPr>
        <w:t>’</w:t>
      </w:r>
      <w:r w:rsidR="002D5B49" w:rsidRPr="00413148">
        <w:rPr>
          <w:rFonts w:eastAsia="Arial"/>
          <w:color w:val="000000"/>
        </w:rPr>
        <w:t xml:space="preserve">n on Human Rights, Index No. 260832/10 (Sup. Ct. Bronx </w:t>
      </w:r>
      <w:proofErr w:type="spellStart"/>
      <w:r w:rsidR="002D5B49" w:rsidRPr="00413148">
        <w:rPr>
          <w:rFonts w:eastAsia="Arial"/>
          <w:color w:val="000000"/>
        </w:rPr>
        <w:t>C</w:t>
      </w:r>
      <w:r w:rsidR="00D93403" w:rsidRPr="00413148">
        <w:rPr>
          <w:rFonts w:eastAsia="Arial"/>
          <w:color w:val="000000"/>
        </w:rPr>
        <w:t>nty</w:t>
      </w:r>
      <w:proofErr w:type="spellEnd"/>
      <w:r w:rsidR="002D5B49" w:rsidRPr="00413148">
        <w:rPr>
          <w:rFonts w:eastAsia="Arial"/>
          <w:color w:val="000000"/>
        </w:rPr>
        <w:t>. 2011)</w:t>
      </w:r>
      <w:r w:rsidR="002D5B49" w:rsidRPr="00413148">
        <w:rPr>
          <w:rFonts w:eastAsia="Arial"/>
          <w:color w:val="000000"/>
          <w:sz w:val="20"/>
        </w:rPr>
        <w:t xml:space="preserve"> </w:t>
      </w:r>
      <w:r w:rsidRPr="00413148">
        <w:t>(</w:t>
      </w:r>
      <w:r w:rsidR="00EB4473" w:rsidRPr="00413148">
        <w:t xml:space="preserve">stating that </w:t>
      </w:r>
      <w:r w:rsidRPr="00413148">
        <w:t xml:space="preserve">“. . . the Commission interprets the </w:t>
      </w:r>
      <w:r w:rsidR="00EB4473" w:rsidRPr="00413148">
        <w:t>[NYCHRL]</w:t>
      </w:r>
      <w:r w:rsidRPr="00413148">
        <w:t xml:space="preserve"> as requiring that housing providers, public accommodations and employers (where applicable), make the main entrance to a building accessible unless doing so creates an undue hardship, or is architecturally infeasible. Only then, should an alternative entrance be considered . . . [The NYCHRL] requires that every entrance or exit available to an able-bodied person be made accessible for a disabled person, assuming it would be architecturally feasible and not cause an undue hardship”).</w:t>
      </w:r>
      <w:r w:rsidR="007532DC" w:rsidRPr="00413148">
        <w:t xml:space="preserve">  </w:t>
      </w:r>
    </w:p>
  </w:footnote>
  <w:footnote w:id="87">
    <w:p w14:paraId="5ACC3533" w14:textId="3C400B02" w:rsidR="00042E4C" w:rsidRPr="00413148" w:rsidRDefault="00042E4C" w:rsidP="00166DFD">
      <w:pPr>
        <w:pStyle w:val="FootnoteText"/>
        <w:ind w:left="0"/>
      </w:pPr>
      <w:r w:rsidRPr="00413148">
        <w:rPr>
          <w:rStyle w:val="FootnoteReference"/>
        </w:rPr>
        <w:footnoteRef/>
      </w:r>
      <w:r w:rsidRPr="00413148">
        <w:t xml:space="preserve"> </w:t>
      </w:r>
      <w:r w:rsidRPr="00413148">
        <w:rPr>
          <w:i/>
        </w:rPr>
        <w:t xml:space="preserve">See </w:t>
      </w:r>
      <w:r w:rsidRPr="00413148">
        <w:t xml:space="preserve">U.S. </w:t>
      </w:r>
      <w:proofErr w:type="spellStart"/>
      <w:r w:rsidRPr="00413148">
        <w:t>Dep’t</w:t>
      </w:r>
      <w:proofErr w:type="spellEnd"/>
      <w:r w:rsidRPr="00413148">
        <w:t xml:space="preserve"> of </w:t>
      </w:r>
      <w:proofErr w:type="spellStart"/>
      <w:r w:rsidRPr="00413148">
        <w:t>Hous</w:t>
      </w:r>
      <w:proofErr w:type="spellEnd"/>
      <w:r w:rsidRPr="00413148">
        <w:t xml:space="preserve">. &amp; Urban Dev. &amp; U.S. </w:t>
      </w:r>
      <w:proofErr w:type="spellStart"/>
      <w:r w:rsidRPr="00413148">
        <w:t>Dep’t</w:t>
      </w:r>
      <w:proofErr w:type="spellEnd"/>
      <w:r w:rsidRPr="00413148">
        <w:t xml:space="preserve"> of Just</w:t>
      </w:r>
      <w:r w:rsidR="00AD4560" w:rsidRPr="00413148">
        <w:t>.</w:t>
      </w:r>
      <w:r w:rsidRPr="00413148">
        <w:t>, Joint Statement: Reasonable Accommodations Under the Fair Housing Act</w:t>
      </w:r>
      <w:r w:rsidRPr="00413148">
        <w:rPr>
          <w:i/>
        </w:rPr>
        <w:t xml:space="preserve"> </w:t>
      </w:r>
      <w:r w:rsidRPr="00413148">
        <w:t>(May 17, 2004), https://www.</w:t>
      </w:r>
      <w:r w:rsidR="00DE290D" w:rsidRPr="00413148">
        <w:t>justice</w:t>
      </w:r>
      <w:r w:rsidRPr="00413148">
        <w:t>.gov/sites/</w:t>
      </w:r>
      <w:r w:rsidR="00DE290D" w:rsidRPr="00413148">
        <w:t>default/files/crt/legacy/2010/12/14/joint_statement_ra.pdf</w:t>
      </w:r>
      <w:r w:rsidRPr="00413148">
        <w:t xml:space="preserve">; U.S. Equal Emp. Opportunity Comm’n, </w:t>
      </w:r>
      <w:r w:rsidR="00EC7410" w:rsidRPr="00413148">
        <w:rPr>
          <w:i/>
          <w:iCs/>
        </w:rPr>
        <w:t>supra</w:t>
      </w:r>
      <w:r w:rsidR="00EC7410" w:rsidRPr="00413148">
        <w:t xml:space="preserve"> note 37</w:t>
      </w:r>
      <w:r w:rsidRPr="00413148">
        <w:t>.</w:t>
      </w:r>
    </w:p>
  </w:footnote>
  <w:footnote w:id="88">
    <w:p w14:paraId="6721CDFA" w14:textId="586287B0" w:rsidR="00042E4C" w:rsidRPr="00413148" w:rsidRDefault="00042E4C" w:rsidP="00166DFD">
      <w:pPr>
        <w:pStyle w:val="FootnoteText"/>
        <w:ind w:left="0"/>
      </w:pPr>
      <w:r w:rsidRPr="00413148">
        <w:rPr>
          <w:rStyle w:val="FootnoteReference"/>
        </w:rPr>
        <w:footnoteRef/>
      </w:r>
      <w:r w:rsidRPr="00413148">
        <w:t xml:space="preserve"> </w:t>
      </w:r>
      <w:r w:rsidRPr="00413148">
        <w:rPr>
          <w:i/>
        </w:rPr>
        <w:t xml:space="preserve">See </w:t>
      </w:r>
      <w:r w:rsidRPr="00413148">
        <w:rPr>
          <w:smallCaps/>
        </w:rPr>
        <w:t>U.S. Equal Emp. Opportunity Comm’n</w:t>
      </w:r>
      <w:r w:rsidRPr="00413148">
        <w:t xml:space="preserve">, </w:t>
      </w:r>
      <w:r w:rsidR="004E4EAD" w:rsidRPr="009D0D9C">
        <w:rPr>
          <w:i/>
          <w:iCs/>
        </w:rPr>
        <w:t>supra</w:t>
      </w:r>
      <w:r w:rsidR="004E4EAD" w:rsidRPr="00413148">
        <w:t xml:space="preserve"> note </w:t>
      </w:r>
      <w:r w:rsidR="00EC7410" w:rsidRPr="00413148">
        <w:t>37</w:t>
      </w:r>
      <w:r w:rsidRPr="00413148">
        <w:t xml:space="preserve">. An employer may not require an employee to provide medical confirmation of pregnancy, childbirth, or related medical condition, unless it is a pregnancy-related disability. </w:t>
      </w:r>
    </w:p>
  </w:footnote>
  <w:footnote w:id="89">
    <w:p w14:paraId="16E7D19B" w14:textId="5C0E37DD" w:rsidR="00042E4C" w:rsidRPr="00413148" w:rsidRDefault="00042E4C" w:rsidP="00166DFD">
      <w:pPr>
        <w:pStyle w:val="FootnoteText"/>
        <w:ind w:left="0"/>
      </w:pPr>
      <w:r w:rsidRPr="00413148">
        <w:rPr>
          <w:rStyle w:val="FootnoteReference"/>
        </w:rPr>
        <w:footnoteRef/>
      </w:r>
      <w:r w:rsidRPr="00413148">
        <w:t xml:space="preserve"> </w:t>
      </w:r>
      <w:r w:rsidRPr="00DA6FE5">
        <w:rPr>
          <w:i/>
          <w:iCs/>
        </w:rPr>
        <w:t xml:space="preserve">See </w:t>
      </w:r>
      <w:r w:rsidR="00746C56" w:rsidRPr="00DA6FE5">
        <w:rPr>
          <w:i/>
          <w:iCs/>
        </w:rPr>
        <w:t>id</w:t>
      </w:r>
      <w:r w:rsidRPr="00413148">
        <w:rPr>
          <w:iCs/>
        </w:rPr>
        <w:t>.</w:t>
      </w:r>
    </w:p>
  </w:footnote>
  <w:footnote w:id="90">
    <w:p w14:paraId="5660DC5B" w14:textId="77777777" w:rsidR="00042E4C" w:rsidRPr="00413148" w:rsidRDefault="00042E4C" w:rsidP="00166DFD">
      <w:pPr>
        <w:pStyle w:val="FootnoteText"/>
        <w:ind w:left="0"/>
      </w:pPr>
      <w:r w:rsidRPr="00413148">
        <w:rPr>
          <w:rStyle w:val="FootnoteReference"/>
        </w:rPr>
        <w:footnoteRef/>
      </w:r>
      <w:r w:rsidRPr="00413148">
        <w:t xml:space="preserve"> </w:t>
      </w:r>
      <w:r w:rsidRPr="00413148">
        <w:rPr>
          <w:i/>
        </w:rPr>
        <w:t xml:space="preserve">See </w:t>
      </w:r>
      <w:r w:rsidR="00EA3951" w:rsidRPr="00413148">
        <w:rPr>
          <w:i/>
        </w:rPr>
        <w:t xml:space="preserve">supra </w:t>
      </w:r>
      <w:r w:rsidR="00EA3951" w:rsidRPr="00413148">
        <w:rPr>
          <w:iCs/>
        </w:rPr>
        <w:t>note</w:t>
      </w:r>
      <w:r w:rsidR="00541D35" w:rsidRPr="00413148">
        <w:rPr>
          <w:iCs/>
        </w:rPr>
        <w:t>s</w:t>
      </w:r>
      <w:r w:rsidR="00EA3951" w:rsidRPr="00413148">
        <w:rPr>
          <w:iCs/>
        </w:rPr>
        <w:t xml:space="preserve"> </w:t>
      </w:r>
      <w:r w:rsidR="00C55149" w:rsidRPr="00413148">
        <w:t>8</w:t>
      </w:r>
      <w:r w:rsidR="000C1214" w:rsidRPr="00413148">
        <w:t>6, 87,</w:t>
      </w:r>
      <w:r w:rsidR="00541D35" w:rsidRPr="00413148">
        <w:rPr>
          <w:iCs/>
        </w:rPr>
        <w:t xml:space="preserve"> and </w:t>
      </w:r>
      <w:r w:rsidR="00C55149" w:rsidRPr="00413148">
        <w:t>8</w:t>
      </w:r>
      <w:r w:rsidR="000C1214" w:rsidRPr="00413148">
        <w:t>8</w:t>
      </w:r>
      <w:r w:rsidR="00EA3951" w:rsidRPr="00413148">
        <w:rPr>
          <w:i/>
        </w:rPr>
        <w:t xml:space="preserve">. </w:t>
      </w:r>
    </w:p>
  </w:footnote>
  <w:footnote w:id="91">
    <w:p w14:paraId="5CF27FF9" w14:textId="77777777" w:rsidR="00042E4C" w:rsidRPr="00413148" w:rsidRDefault="00042E4C" w:rsidP="00166DFD">
      <w:pPr>
        <w:pStyle w:val="FootnoteText"/>
        <w:ind w:left="0"/>
      </w:pPr>
      <w:r w:rsidRPr="00413148">
        <w:rPr>
          <w:rStyle w:val="FootnoteReference"/>
        </w:rPr>
        <w:footnoteRef/>
      </w:r>
      <w:r w:rsidRPr="00413148">
        <w:t xml:space="preserve"> See</w:t>
      </w:r>
      <w:r w:rsidR="00653259" w:rsidRPr="00413148">
        <w:t xml:space="preserve"> </w:t>
      </w:r>
      <w:r w:rsidR="00B00F90" w:rsidRPr="00413148">
        <w:rPr>
          <w:i/>
        </w:rPr>
        <w:t>id</w:t>
      </w:r>
      <w:r w:rsidR="00B00F90" w:rsidRPr="00413148">
        <w:t>.</w:t>
      </w:r>
    </w:p>
  </w:footnote>
  <w:footnote w:id="92">
    <w:p w14:paraId="5E246965" w14:textId="3F982FA6" w:rsidR="00964E95" w:rsidRPr="00413148" w:rsidRDefault="00964E95" w:rsidP="00166DFD">
      <w:pPr>
        <w:pStyle w:val="FootnoteText"/>
        <w:ind w:left="0"/>
      </w:pPr>
      <w:r w:rsidRPr="00413148">
        <w:rPr>
          <w:rStyle w:val="FootnoteReference"/>
        </w:rPr>
        <w:footnoteRef/>
      </w:r>
      <w:r w:rsidRPr="00413148">
        <w:t xml:space="preserve"> “Health professional” </w:t>
      </w:r>
      <w:r w:rsidR="007B1A9C" w:rsidRPr="00413148">
        <w:t xml:space="preserve">is used </w:t>
      </w:r>
      <w:r w:rsidR="00F50836" w:rsidRPr="00413148">
        <w:t>in this guidance to refer to</w:t>
      </w:r>
      <w:r w:rsidRPr="00413148">
        <w:t xml:space="preserve"> a person who provides medical care, therapy, or counseling to persons with disabilities, including, but not limited to, doctors, physician assistants, nurse practitioners, psychiatrists, psychologists, or social workers.</w:t>
      </w:r>
    </w:p>
  </w:footnote>
  <w:footnote w:id="93">
    <w:p w14:paraId="35EC1DC9" w14:textId="1476B321" w:rsidR="00042E4C" w:rsidRPr="00413148" w:rsidRDefault="00042E4C" w:rsidP="00042E4C">
      <w:r w:rsidRPr="00413148">
        <w:rPr>
          <w:rStyle w:val="FootnoteReference"/>
          <w:rFonts w:cs="Arial"/>
          <w:szCs w:val="32"/>
        </w:rPr>
        <w:footnoteRef/>
      </w:r>
      <w:r w:rsidRPr="00413148">
        <w:rPr>
          <w:rFonts w:ascii="Verdana" w:hAnsi="Verdana"/>
          <w:sz w:val="24"/>
        </w:rPr>
        <w:t xml:space="preserve"> </w:t>
      </w:r>
      <w:r w:rsidR="0086450D" w:rsidRPr="00413148">
        <w:rPr>
          <w:i/>
          <w:iCs/>
        </w:rPr>
        <w:t>See supra</w:t>
      </w:r>
      <w:r w:rsidR="0086450D" w:rsidRPr="00413148">
        <w:t xml:space="preserve"> note 83</w:t>
      </w:r>
      <w:r w:rsidRPr="00413148">
        <w:t>.</w:t>
      </w:r>
    </w:p>
  </w:footnote>
  <w:footnote w:id="94">
    <w:p w14:paraId="3E3F768B" w14:textId="6F539914" w:rsidR="001671B7" w:rsidRPr="00413148" w:rsidRDefault="001671B7" w:rsidP="00166DFD">
      <w:pPr>
        <w:pStyle w:val="FootnoteText"/>
        <w:ind w:left="0"/>
      </w:pPr>
      <w:r w:rsidRPr="00413148">
        <w:rPr>
          <w:rStyle w:val="FootnoteReference"/>
        </w:rPr>
        <w:footnoteRef/>
      </w:r>
      <w:r w:rsidRPr="00413148">
        <w:t xml:space="preserve"> </w:t>
      </w:r>
      <w:r w:rsidRPr="00413148">
        <w:rPr>
          <w:i/>
          <w:iCs/>
        </w:rPr>
        <w:t>See</w:t>
      </w:r>
      <w:r w:rsidRPr="00413148">
        <w:t xml:space="preserve"> </w:t>
      </w:r>
      <w:r w:rsidR="00FC7C6C" w:rsidRPr="00413148">
        <w:t xml:space="preserve">Part </w:t>
      </w:r>
      <w:r w:rsidRPr="00413148">
        <w:t>II(A)(iv) for a discussion of defenses to claims of failure to provide reasonable accommodations in employment.</w:t>
      </w:r>
    </w:p>
  </w:footnote>
  <w:footnote w:id="95">
    <w:p w14:paraId="23B39A20" w14:textId="49DA6845" w:rsidR="001671B7" w:rsidRPr="00413148" w:rsidRDefault="001671B7" w:rsidP="00166DFD">
      <w:pPr>
        <w:pStyle w:val="FootnoteText"/>
        <w:ind w:left="0"/>
      </w:pPr>
      <w:r w:rsidRPr="00413148">
        <w:rPr>
          <w:rStyle w:val="FootnoteReference"/>
        </w:rPr>
        <w:footnoteRef/>
      </w:r>
      <w:r w:rsidRPr="00413148">
        <w:t xml:space="preserve"> </w:t>
      </w:r>
      <w:r w:rsidR="00380360" w:rsidRPr="00413148">
        <w:rPr>
          <w:i/>
          <w:iCs/>
        </w:rPr>
        <w:t>See supra</w:t>
      </w:r>
      <w:r w:rsidR="00380360" w:rsidRPr="00413148">
        <w:t xml:space="preserve"> note 83</w:t>
      </w:r>
      <w:r w:rsidRPr="00413148">
        <w:t>.</w:t>
      </w:r>
    </w:p>
  </w:footnote>
  <w:footnote w:id="96">
    <w:p w14:paraId="3C2C791E" w14:textId="24D4D4D1" w:rsidR="001671B7" w:rsidRPr="00413148" w:rsidRDefault="001671B7" w:rsidP="00166DFD">
      <w:pPr>
        <w:pStyle w:val="FootnoteText"/>
        <w:ind w:left="0"/>
      </w:pPr>
      <w:r w:rsidRPr="00413148">
        <w:rPr>
          <w:rStyle w:val="FootnoteReference"/>
        </w:rPr>
        <w:footnoteRef/>
      </w:r>
      <w:r w:rsidRPr="00413148">
        <w:t xml:space="preserve"> N.Y.C. Admin. Code § 8-102</w:t>
      </w:r>
      <w:r w:rsidR="00A25D37" w:rsidRPr="00413148">
        <w:t xml:space="preserve"> </w:t>
      </w:r>
      <w:r w:rsidRPr="00413148">
        <w:t xml:space="preserve">(“The term ‘reasonable accommodation’ means such accommodation that can be made that shall not cause undue hardship in the conduct of the covered entity’s business.”); </w:t>
      </w:r>
      <w:r w:rsidRPr="00413148">
        <w:rPr>
          <w:i/>
          <w:iCs/>
        </w:rPr>
        <w:t xml:space="preserve">see </w:t>
      </w:r>
      <w:r w:rsidR="00883F16" w:rsidRPr="00413148">
        <w:rPr>
          <w:i/>
          <w:iCs/>
        </w:rPr>
        <w:t xml:space="preserve">also </w:t>
      </w:r>
      <w:r w:rsidRPr="00413148">
        <w:rPr>
          <w:i/>
          <w:iCs/>
        </w:rPr>
        <w:t>Romanello</w:t>
      </w:r>
      <w:r w:rsidRPr="00413148">
        <w:t xml:space="preserve">, 22 N.Y.3d </w:t>
      </w:r>
      <w:r w:rsidR="00767F71" w:rsidRPr="00413148">
        <w:t>at</w:t>
      </w:r>
      <w:r w:rsidRPr="00413148">
        <w:t xml:space="preserve"> 884-85</w:t>
      </w:r>
      <w:r w:rsidR="007D4EAB" w:rsidRPr="00413148">
        <w:t xml:space="preserve">, </w:t>
      </w:r>
      <w:r w:rsidR="00767F71" w:rsidRPr="00413148">
        <w:t>(</w:t>
      </w:r>
      <w:r w:rsidR="00883F16" w:rsidRPr="00413148">
        <w:t>citing</w:t>
      </w:r>
      <w:r w:rsidR="00883F16" w:rsidRPr="00413148">
        <w:rPr>
          <w:i/>
          <w:iCs/>
        </w:rPr>
        <w:t xml:space="preserve"> </w:t>
      </w:r>
      <w:r w:rsidRPr="00413148">
        <w:rPr>
          <w:i/>
          <w:iCs/>
        </w:rPr>
        <w:t>Phillips</w:t>
      </w:r>
      <w:r w:rsidRPr="00413148">
        <w:t xml:space="preserve">, 66 A.D.3d </w:t>
      </w:r>
      <w:r w:rsidR="00BD0E94" w:rsidRPr="00413148">
        <w:t>at</w:t>
      </w:r>
      <w:r w:rsidRPr="00413148">
        <w:t xml:space="preserve"> 185</w:t>
      </w:r>
      <w:r w:rsidR="004959E1" w:rsidRPr="00413148">
        <w:t>)</w:t>
      </w:r>
      <w:r w:rsidRPr="00413148">
        <w:t xml:space="preserve"> (“Under the City HRL . . . the concepts of ‘reasonable accommodation’ and ‘undue hardship’ are inextricably intertwined. An accommodation under Administrative Code § 8</w:t>
      </w:r>
      <w:r w:rsidR="00D43383" w:rsidRPr="00413148">
        <w:t>-</w:t>
      </w:r>
      <w:r w:rsidRPr="00413148">
        <w:t>102</w:t>
      </w:r>
      <w:r w:rsidR="004959E1" w:rsidRPr="00413148">
        <w:t xml:space="preserve"> </w:t>
      </w:r>
      <w:r w:rsidRPr="00413148">
        <w:t>. . . cannot be considered unreasonable unless the covered entity proves that the accommodation would cause undue hardship.”).</w:t>
      </w:r>
    </w:p>
  </w:footnote>
  <w:footnote w:id="97">
    <w:p w14:paraId="112F5648" w14:textId="77777777" w:rsidR="001671B7" w:rsidRPr="00413148" w:rsidRDefault="001671B7" w:rsidP="00166DFD">
      <w:pPr>
        <w:pStyle w:val="FootnoteText"/>
        <w:ind w:left="0"/>
      </w:pPr>
      <w:r w:rsidRPr="00413148">
        <w:rPr>
          <w:rStyle w:val="FootnoteReference"/>
        </w:rPr>
        <w:footnoteRef/>
      </w:r>
      <w:r w:rsidRPr="00413148">
        <w:t xml:space="preserve"> N.Y.C. Admin. Code § 8-102.</w:t>
      </w:r>
    </w:p>
  </w:footnote>
  <w:footnote w:id="98">
    <w:p w14:paraId="600DCE96" w14:textId="6AD2EB36" w:rsidR="001671B7" w:rsidRPr="00413148" w:rsidRDefault="001671B7" w:rsidP="00166DFD">
      <w:pPr>
        <w:pStyle w:val="FootnoteText"/>
        <w:ind w:left="0"/>
      </w:pPr>
      <w:r w:rsidRPr="00413148">
        <w:rPr>
          <w:rStyle w:val="FootnoteReference"/>
        </w:rPr>
        <w:footnoteRef/>
      </w:r>
      <w:r w:rsidRPr="00413148">
        <w:t xml:space="preserve"> </w:t>
      </w:r>
      <w:r w:rsidRPr="00413148">
        <w:rPr>
          <w:i/>
          <w:iCs/>
        </w:rPr>
        <w:t>See In re Comm’n on Human Rights ex rel. Agosto v. Am. Construction Assocs.</w:t>
      </w:r>
      <w:r w:rsidRPr="00413148">
        <w:t>, OATH Index No. 1964/15, Am</w:t>
      </w:r>
      <w:r w:rsidR="00883F16" w:rsidRPr="00413148">
        <w:t>ended</w:t>
      </w:r>
      <w:r w:rsidRPr="00413148">
        <w:t xml:space="preserve"> </w:t>
      </w:r>
      <w:r w:rsidR="00883F16" w:rsidRPr="00413148">
        <w:t xml:space="preserve">Comm’n </w:t>
      </w:r>
      <w:r w:rsidRPr="00413148">
        <w:t>Dec. &amp; Order, 2017 WL 1335244, at *5 (Apr. 5, 2017).</w:t>
      </w:r>
    </w:p>
  </w:footnote>
  <w:footnote w:id="99">
    <w:p w14:paraId="0CBB46CF" w14:textId="45A1A8EA" w:rsidR="001671B7" w:rsidRPr="00413148" w:rsidRDefault="001671B7" w:rsidP="001671B7">
      <w:pPr>
        <w:spacing w:after="120" w:line="40" w:lineRule="atLeast"/>
        <w:rPr>
          <w:rFonts w:cs="Arial"/>
          <w:szCs w:val="32"/>
        </w:rPr>
      </w:pPr>
      <w:r w:rsidRPr="00413148">
        <w:rPr>
          <w:rStyle w:val="FootnoteReference"/>
          <w:rFonts w:cs="Arial"/>
          <w:szCs w:val="32"/>
        </w:rPr>
        <w:footnoteRef/>
      </w:r>
      <w:r w:rsidRPr="00413148">
        <w:rPr>
          <w:rFonts w:cs="Arial"/>
          <w:szCs w:val="32"/>
        </w:rPr>
        <w:t xml:space="preserve"> </w:t>
      </w:r>
      <w:r w:rsidR="00A228E6" w:rsidRPr="00413148">
        <w:rPr>
          <w:rFonts w:cs="Arial"/>
          <w:i/>
          <w:iCs/>
          <w:szCs w:val="32"/>
        </w:rPr>
        <w:t>See</w:t>
      </w:r>
      <w:r w:rsidR="00A228E6" w:rsidRPr="00413148">
        <w:rPr>
          <w:rFonts w:cs="Arial"/>
          <w:szCs w:val="32"/>
        </w:rPr>
        <w:t xml:space="preserve">, </w:t>
      </w:r>
      <w:r w:rsidR="00A228E6" w:rsidRPr="00413148">
        <w:rPr>
          <w:rFonts w:cs="Arial"/>
          <w:i/>
          <w:iCs/>
          <w:szCs w:val="32"/>
        </w:rPr>
        <w:t>e.g.</w:t>
      </w:r>
      <w:r w:rsidR="00A228E6" w:rsidRPr="00413148">
        <w:rPr>
          <w:rFonts w:cs="Arial"/>
          <w:szCs w:val="32"/>
        </w:rPr>
        <w:t xml:space="preserve">, </w:t>
      </w:r>
      <w:r w:rsidRPr="00413148">
        <w:rPr>
          <w:rFonts w:cs="Arial"/>
          <w:i/>
          <w:szCs w:val="32"/>
        </w:rPr>
        <w:t>Phillips</w:t>
      </w:r>
      <w:r w:rsidRPr="00413148">
        <w:rPr>
          <w:rFonts w:cs="Arial"/>
          <w:iCs/>
          <w:szCs w:val="32"/>
        </w:rPr>
        <w:t>,</w:t>
      </w:r>
      <w:r w:rsidRPr="00413148">
        <w:rPr>
          <w:rFonts w:cs="Arial"/>
          <w:szCs w:val="32"/>
        </w:rPr>
        <w:t xml:space="preserve"> 66 A.D.3d </w:t>
      </w:r>
      <w:r w:rsidR="00707AF0" w:rsidRPr="00413148">
        <w:rPr>
          <w:rFonts w:cs="Arial"/>
          <w:szCs w:val="32"/>
        </w:rPr>
        <w:t>at</w:t>
      </w:r>
      <w:r w:rsidRPr="00413148">
        <w:rPr>
          <w:rFonts w:cs="Arial"/>
          <w:szCs w:val="32"/>
        </w:rPr>
        <w:t xml:space="preserve"> 182; </w:t>
      </w:r>
      <w:r w:rsidR="00333F3A" w:rsidRPr="00413148">
        <w:rPr>
          <w:rFonts w:cs="Arial"/>
          <w:i/>
          <w:szCs w:val="32"/>
        </w:rPr>
        <w:t>Forgione v. City of N.Y.</w:t>
      </w:r>
      <w:r w:rsidR="00333F3A" w:rsidRPr="00413148">
        <w:rPr>
          <w:rFonts w:cs="Arial"/>
          <w:iCs/>
          <w:szCs w:val="32"/>
        </w:rPr>
        <w:t>,</w:t>
      </w:r>
      <w:r w:rsidR="00333F3A" w:rsidRPr="00413148">
        <w:rPr>
          <w:rFonts w:cs="Arial"/>
          <w:szCs w:val="32"/>
        </w:rPr>
        <w:t xml:space="preserve"> No. 11 Civ. 5248, 2012 WL 4049832, at *9 (E.D.N.Y. Sept. 13, 2012); </w:t>
      </w:r>
      <w:r w:rsidRPr="00413148">
        <w:rPr>
          <w:rFonts w:cs="Arial"/>
          <w:i/>
          <w:szCs w:val="32"/>
        </w:rPr>
        <w:t>Am</w:t>
      </w:r>
      <w:r w:rsidR="00A228E6" w:rsidRPr="00413148">
        <w:rPr>
          <w:rFonts w:cs="Arial"/>
          <w:i/>
          <w:szCs w:val="32"/>
        </w:rPr>
        <w:t>.</w:t>
      </w:r>
      <w:r w:rsidRPr="00413148">
        <w:rPr>
          <w:rFonts w:cs="Arial"/>
          <w:i/>
          <w:szCs w:val="32"/>
        </w:rPr>
        <w:t xml:space="preserve"> Council of the Blind v. City of N.Y.,</w:t>
      </w:r>
      <w:r w:rsidRPr="00413148">
        <w:rPr>
          <w:rFonts w:cs="Arial"/>
          <w:szCs w:val="32"/>
        </w:rPr>
        <w:t xml:space="preserve"> 579 F.</w:t>
      </w:r>
      <w:r w:rsidR="00A228E6" w:rsidRPr="00413148">
        <w:rPr>
          <w:rFonts w:cs="Arial"/>
          <w:szCs w:val="32"/>
        </w:rPr>
        <w:t xml:space="preserve"> </w:t>
      </w:r>
      <w:r w:rsidRPr="00413148">
        <w:rPr>
          <w:rFonts w:cs="Arial"/>
          <w:szCs w:val="32"/>
        </w:rPr>
        <w:t>Supp. 3d 539, 571-72 (S.D.N.Y. 2021).</w:t>
      </w:r>
    </w:p>
  </w:footnote>
  <w:footnote w:id="100">
    <w:p w14:paraId="07981F69" w14:textId="77777777" w:rsidR="00C44D63" w:rsidRPr="00413148" w:rsidRDefault="00C44D63" w:rsidP="00166DFD">
      <w:pPr>
        <w:pStyle w:val="FootnoteText"/>
        <w:ind w:left="0"/>
      </w:pPr>
      <w:r w:rsidRPr="00413148">
        <w:rPr>
          <w:rStyle w:val="FootnoteReference"/>
        </w:rPr>
        <w:footnoteRef/>
      </w:r>
      <w:r w:rsidRPr="00413148">
        <w:t xml:space="preserve"> N.Y.C. Admin. Code § 8-107(1).</w:t>
      </w:r>
    </w:p>
  </w:footnote>
  <w:footnote w:id="101">
    <w:p w14:paraId="71F9B910" w14:textId="6AD5A0DB" w:rsidR="00291B50" w:rsidRPr="00413148" w:rsidRDefault="00291B50" w:rsidP="00166DFD">
      <w:pPr>
        <w:pStyle w:val="FootnoteText"/>
        <w:ind w:left="0"/>
      </w:pPr>
      <w:r w:rsidRPr="00413148">
        <w:rPr>
          <w:rStyle w:val="FootnoteReference"/>
        </w:rPr>
        <w:footnoteRef/>
      </w:r>
      <w:r w:rsidRPr="00413148">
        <w:t xml:space="preserve"> </w:t>
      </w:r>
      <w:r w:rsidR="00F1487A" w:rsidRPr="00413148">
        <w:rPr>
          <w:i/>
          <w:iCs/>
        </w:rPr>
        <w:t>Id.</w:t>
      </w:r>
      <w:r w:rsidRPr="00413148">
        <w:t xml:space="preserve"> § 8-102. </w:t>
      </w:r>
      <w:r w:rsidR="00963C14" w:rsidRPr="00413148">
        <w:t>(</w:t>
      </w:r>
      <w:r w:rsidRPr="00413148">
        <w:t>“The term ‘labor organization’ includes any organization which exists and is constituted for the purpose, in whole or in part, of collective bargaining or of dealing with employers concerning grievances, terms and conditions of employment, or of other mutual aid or protection in connection with employment.”</w:t>
      </w:r>
      <w:r w:rsidR="00963C14" w:rsidRPr="00413148">
        <w:t>).</w:t>
      </w:r>
    </w:p>
  </w:footnote>
  <w:footnote w:id="102">
    <w:p w14:paraId="143D8451" w14:textId="5EEA996F" w:rsidR="00291B50" w:rsidRPr="00413148" w:rsidRDefault="00291B50" w:rsidP="00166DFD">
      <w:pPr>
        <w:pStyle w:val="FootnoteText"/>
        <w:ind w:left="0"/>
      </w:pPr>
      <w:r w:rsidRPr="00413148">
        <w:rPr>
          <w:rStyle w:val="FootnoteReference"/>
        </w:rPr>
        <w:footnoteRef/>
      </w:r>
      <w:r w:rsidRPr="00413148">
        <w:t xml:space="preserve"> </w:t>
      </w:r>
      <w:r w:rsidR="00963C14" w:rsidRPr="00413148">
        <w:rPr>
          <w:i/>
          <w:iCs/>
        </w:rPr>
        <w:t>Id</w:t>
      </w:r>
      <w:r w:rsidRPr="00413148">
        <w:rPr>
          <w:i/>
          <w:iCs/>
        </w:rPr>
        <w:t>.</w:t>
      </w:r>
      <w:r w:rsidRPr="00413148">
        <w:t xml:space="preserve"> </w:t>
      </w:r>
      <w:r w:rsidR="00963C14" w:rsidRPr="00413148">
        <w:t>(</w:t>
      </w:r>
      <w:r w:rsidRPr="00413148">
        <w:t>“The term ‘employment agency’ includes any person undertaking to procure employees or opportunities to work.”</w:t>
      </w:r>
      <w:r w:rsidR="00963C14" w:rsidRPr="00413148">
        <w:t>).</w:t>
      </w:r>
    </w:p>
  </w:footnote>
  <w:footnote w:id="103">
    <w:p w14:paraId="1709C150" w14:textId="690D2E88" w:rsidR="00823C08" w:rsidRPr="00413148" w:rsidRDefault="00823C08" w:rsidP="00166DFD">
      <w:pPr>
        <w:pStyle w:val="FootnoteText"/>
        <w:ind w:left="0"/>
      </w:pPr>
      <w:r w:rsidRPr="00413148">
        <w:rPr>
          <w:rStyle w:val="FootnoteReference"/>
        </w:rPr>
        <w:footnoteRef/>
      </w:r>
      <w:r w:rsidRPr="00413148">
        <w:t xml:space="preserve"> </w:t>
      </w:r>
      <w:r w:rsidR="00963C14" w:rsidRPr="00413148">
        <w:rPr>
          <w:i/>
          <w:iCs/>
        </w:rPr>
        <w:t>Id.</w:t>
      </w:r>
      <w:r w:rsidRPr="00413148">
        <w:t xml:space="preserve"> §§ 8-107(1)-(2).</w:t>
      </w:r>
    </w:p>
  </w:footnote>
  <w:footnote w:id="104">
    <w:p w14:paraId="6C49E224" w14:textId="39BF173C" w:rsidR="00823C08" w:rsidRPr="00413148" w:rsidRDefault="00823C08" w:rsidP="00166DFD">
      <w:pPr>
        <w:pStyle w:val="FootnoteText"/>
        <w:ind w:left="0"/>
      </w:pPr>
      <w:r w:rsidRPr="00413148">
        <w:rPr>
          <w:rStyle w:val="FootnoteReference"/>
        </w:rPr>
        <w:footnoteRef/>
      </w:r>
      <w:r w:rsidRPr="00413148">
        <w:t xml:space="preserve"> </w:t>
      </w:r>
      <w:r w:rsidR="00963C14" w:rsidRPr="00413148">
        <w:rPr>
          <w:i/>
          <w:iCs/>
        </w:rPr>
        <w:t>Id.</w:t>
      </w:r>
      <w:r w:rsidRPr="00413148">
        <w:t xml:space="preserve"> § 8-102.</w:t>
      </w:r>
    </w:p>
  </w:footnote>
  <w:footnote w:id="105">
    <w:p w14:paraId="6975753D" w14:textId="55BA630C" w:rsidR="00823C08" w:rsidRPr="00413148" w:rsidRDefault="00823C08" w:rsidP="00166DFD">
      <w:pPr>
        <w:pStyle w:val="FootnoteText"/>
        <w:ind w:left="0"/>
      </w:pPr>
      <w:r w:rsidRPr="00413148">
        <w:rPr>
          <w:rStyle w:val="FootnoteReference"/>
        </w:rPr>
        <w:footnoteRef/>
      </w:r>
      <w:r w:rsidRPr="00413148">
        <w:t xml:space="preserve"> </w:t>
      </w:r>
      <w:r w:rsidR="00963C14" w:rsidRPr="00413148">
        <w:rPr>
          <w:i/>
          <w:iCs/>
        </w:rPr>
        <w:t>Id.</w:t>
      </w:r>
      <w:r w:rsidRPr="00413148">
        <w:t xml:space="preserve"> § 8-107(1)(d).</w:t>
      </w:r>
    </w:p>
  </w:footnote>
  <w:footnote w:id="106">
    <w:p w14:paraId="5A1F903B" w14:textId="77777777" w:rsidR="00823C08" w:rsidRPr="00413148" w:rsidRDefault="00823C08" w:rsidP="00166DFD">
      <w:pPr>
        <w:pStyle w:val="FootnoteText"/>
        <w:ind w:left="0"/>
      </w:pPr>
      <w:r w:rsidRPr="00413148">
        <w:rPr>
          <w:rStyle w:val="FootnoteReference"/>
        </w:rPr>
        <w:footnoteRef/>
      </w:r>
      <w:r w:rsidRPr="00413148">
        <w:t xml:space="preserve"> </w:t>
      </w:r>
      <w:r w:rsidRPr="008E05D3">
        <w:rPr>
          <w:i/>
          <w:iCs/>
        </w:rPr>
        <w:t>Id</w:t>
      </w:r>
      <w:r w:rsidRPr="00413148">
        <w:t>.</w:t>
      </w:r>
    </w:p>
  </w:footnote>
  <w:footnote w:id="107">
    <w:p w14:paraId="07ED16EE" w14:textId="13ED35C2" w:rsidR="00823C08" w:rsidRPr="00413148" w:rsidRDefault="00823C08" w:rsidP="00166DFD">
      <w:pPr>
        <w:pStyle w:val="FootnoteText"/>
        <w:ind w:left="0"/>
      </w:pPr>
      <w:r w:rsidRPr="00413148">
        <w:rPr>
          <w:rStyle w:val="FootnoteReference"/>
        </w:rPr>
        <w:footnoteRef/>
      </w:r>
      <w:r w:rsidRPr="00413148">
        <w:t xml:space="preserve"> </w:t>
      </w:r>
      <w:r w:rsidRPr="00413148">
        <w:rPr>
          <w:i/>
          <w:iCs/>
        </w:rPr>
        <w:t xml:space="preserve">See </w:t>
      </w:r>
      <w:r w:rsidRPr="00413148">
        <w:t xml:space="preserve">U.S. Equal Emp. Opportunity Comm’n &amp; U.S. </w:t>
      </w:r>
      <w:proofErr w:type="spellStart"/>
      <w:r w:rsidRPr="00413148">
        <w:t>Dep’t</w:t>
      </w:r>
      <w:proofErr w:type="spellEnd"/>
      <w:r w:rsidRPr="00413148">
        <w:t xml:space="preserve"> </w:t>
      </w:r>
      <w:proofErr w:type="gramStart"/>
      <w:r w:rsidRPr="00413148">
        <w:t>Of</w:t>
      </w:r>
      <w:proofErr w:type="gramEnd"/>
      <w:r w:rsidRPr="00413148">
        <w:t xml:space="preserve"> Just</w:t>
      </w:r>
      <w:r w:rsidR="00E30D6F" w:rsidRPr="00413148">
        <w:t>.</w:t>
      </w:r>
      <w:r w:rsidRPr="00413148">
        <w:t xml:space="preserve">, Civil Rights Div., </w:t>
      </w:r>
      <w:r w:rsidR="00B37BFA" w:rsidRPr="00413148">
        <w:t>The ADA</w:t>
      </w:r>
      <w:r w:rsidRPr="00413148">
        <w:t>: Questions and Answers (May 2002), https://www.</w:t>
      </w:r>
      <w:r w:rsidR="003C5A3B" w:rsidRPr="00413148">
        <w:t>eeoc.gov/laws/guidance/ada-questions-and-answers</w:t>
      </w:r>
      <w:r w:rsidRPr="00413148">
        <w:t>.</w:t>
      </w:r>
    </w:p>
  </w:footnote>
  <w:footnote w:id="108">
    <w:p w14:paraId="2D9566BA" w14:textId="77777777" w:rsidR="00823C08" w:rsidRPr="00413148" w:rsidRDefault="00823C08" w:rsidP="00166DFD">
      <w:pPr>
        <w:pStyle w:val="FootnoteText"/>
        <w:ind w:left="0"/>
      </w:pPr>
      <w:r w:rsidRPr="00413148">
        <w:rPr>
          <w:rStyle w:val="FootnoteReference"/>
        </w:rPr>
        <w:footnoteRef/>
      </w:r>
      <w:r w:rsidRPr="00413148">
        <w:t xml:space="preserve"> </w:t>
      </w:r>
      <w:r w:rsidRPr="00413148">
        <w:rPr>
          <w:i/>
          <w:iCs/>
        </w:rPr>
        <w:t>See</w:t>
      </w:r>
      <w:r w:rsidRPr="00413148">
        <w:t>,</w:t>
      </w:r>
      <w:r w:rsidRPr="00413148">
        <w:rPr>
          <w:i/>
          <w:iCs/>
        </w:rPr>
        <w:t xml:space="preserve"> e.g.</w:t>
      </w:r>
      <w:r w:rsidRPr="00413148">
        <w:t>, 29 C.F.R. § 1630.14.</w:t>
      </w:r>
    </w:p>
  </w:footnote>
  <w:footnote w:id="109">
    <w:p w14:paraId="5792C53C" w14:textId="77777777" w:rsidR="00823C08" w:rsidRPr="00413148" w:rsidRDefault="00823C08" w:rsidP="00166DFD">
      <w:pPr>
        <w:pStyle w:val="FootnoteText"/>
        <w:ind w:left="0"/>
      </w:pPr>
      <w:r w:rsidRPr="00413148">
        <w:rPr>
          <w:rStyle w:val="FootnoteReference"/>
        </w:rPr>
        <w:footnoteRef/>
      </w:r>
      <w:r w:rsidRPr="00413148">
        <w:t xml:space="preserve"> N.Y.C. Admin. Code § 8-107(1)(d).</w:t>
      </w:r>
    </w:p>
  </w:footnote>
  <w:footnote w:id="110">
    <w:p w14:paraId="34A57C91" w14:textId="77777777" w:rsidR="00823C08" w:rsidRPr="00413148" w:rsidRDefault="00823C08" w:rsidP="00166DFD">
      <w:pPr>
        <w:pStyle w:val="FootnoteText"/>
        <w:ind w:left="0"/>
      </w:pPr>
      <w:r w:rsidRPr="00413148">
        <w:rPr>
          <w:rStyle w:val="FootnoteReference"/>
        </w:rPr>
        <w:footnoteRef/>
      </w:r>
      <w:r w:rsidRPr="00413148">
        <w:t xml:space="preserve"> </w:t>
      </w:r>
      <w:r w:rsidRPr="00413148">
        <w:rPr>
          <w:i/>
        </w:rPr>
        <w:t>See</w:t>
      </w:r>
      <w:r w:rsidRPr="00413148">
        <w:t xml:space="preserve"> </w:t>
      </w:r>
      <w:r w:rsidRPr="00413148">
        <w:rPr>
          <w:i/>
        </w:rPr>
        <w:t>infra</w:t>
      </w:r>
      <w:r w:rsidRPr="00413148">
        <w:t xml:space="preserve"> Part</w:t>
      </w:r>
      <w:r w:rsidR="00353E3C" w:rsidRPr="00413148">
        <w:t>s</w:t>
      </w:r>
      <w:r w:rsidRPr="00413148">
        <w:t xml:space="preserve"> I</w:t>
      </w:r>
      <w:r w:rsidR="00332B7A" w:rsidRPr="00413148">
        <w:t>I</w:t>
      </w:r>
      <w:r w:rsidRPr="00413148">
        <w:t>(</w:t>
      </w:r>
      <w:r w:rsidR="00332B7A" w:rsidRPr="00413148">
        <w:t>A)(</w:t>
      </w:r>
      <w:proofErr w:type="spellStart"/>
      <w:r w:rsidR="00332B7A" w:rsidRPr="00413148">
        <w:t>i</w:t>
      </w:r>
      <w:proofErr w:type="spellEnd"/>
      <w:r w:rsidR="00332B7A" w:rsidRPr="00413148">
        <w:t>)</w:t>
      </w:r>
      <w:r w:rsidR="00353E3C" w:rsidRPr="00413148">
        <w:t xml:space="preserve"> and IV</w:t>
      </w:r>
      <w:r w:rsidRPr="00413148">
        <w:t>, discussing reasonable accommodations in the pre-employment context.</w:t>
      </w:r>
    </w:p>
  </w:footnote>
  <w:footnote w:id="111">
    <w:p w14:paraId="4BA8A47C" w14:textId="4C6184F3" w:rsidR="00823C08" w:rsidRPr="00413148" w:rsidRDefault="00823C08" w:rsidP="00166DFD">
      <w:pPr>
        <w:pStyle w:val="FootnoteText"/>
        <w:ind w:left="0"/>
      </w:pPr>
      <w:r w:rsidRPr="00413148">
        <w:rPr>
          <w:rStyle w:val="FootnoteReference"/>
        </w:rPr>
        <w:footnoteRef/>
      </w:r>
      <w:r w:rsidRPr="00413148">
        <w:t xml:space="preserve"> N.Y.C. Admin. Code § 8-107(17)</w:t>
      </w:r>
      <w:r w:rsidR="004D1B76" w:rsidRPr="00413148">
        <w:t>.</w:t>
      </w:r>
      <w:r w:rsidRPr="00413148">
        <w:t xml:space="preserve"> </w:t>
      </w:r>
      <w:r w:rsidR="004D1B76" w:rsidRPr="00413148">
        <w:rPr>
          <w:i/>
        </w:rPr>
        <w:t>S</w:t>
      </w:r>
      <w:r w:rsidRPr="00413148">
        <w:rPr>
          <w:i/>
        </w:rPr>
        <w:t xml:space="preserve">ee </w:t>
      </w:r>
      <w:r w:rsidR="004D1B76" w:rsidRPr="00413148">
        <w:rPr>
          <w:i/>
        </w:rPr>
        <w:t xml:space="preserve">supra </w:t>
      </w:r>
      <w:r w:rsidRPr="00413148">
        <w:t>Part I(</w:t>
      </w:r>
      <w:r w:rsidR="00660452" w:rsidRPr="00413148">
        <w:t>ii</w:t>
      </w:r>
      <w:r w:rsidRPr="00413148">
        <w:t>), discussing neutral policies that have a disparate impact.</w:t>
      </w:r>
    </w:p>
  </w:footnote>
  <w:footnote w:id="112">
    <w:p w14:paraId="1FBB12C6" w14:textId="3D2AFE8E" w:rsidR="00823C08" w:rsidRPr="00413148" w:rsidRDefault="00823C08" w:rsidP="00166DFD">
      <w:pPr>
        <w:pStyle w:val="FootnoteText"/>
        <w:ind w:left="0"/>
      </w:pPr>
      <w:r w:rsidRPr="00413148">
        <w:rPr>
          <w:rStyle w:val="FootnoteReference"/>
        </w:rPr>
        <w:footnoteRef/>
      </w:r>
      <w:r w:rsidRPr="00413148">
        <w:t xml:space="preserve"> </w:t>
      </w:r>
      <w:r w:rsidRPr="00413148">
        <w:rPr>
          <w:i/>
          <w:iCs/>
        </w:rPr>
        <w:t>See</w:t>
      </w:r>
      <w:r w:rsidRPr="00413148">
        <w:t xml:space="preserve"> </w:t>
      </w:r>
      <w:r w:rsidR="00A637C7" w:rsidRPr="00413148">
        <w:rPr>
          <w:i/>
        </w:rPr>
        <w:t>supra</w:t>
      </w:r>
      <w:r w:rsidR="00A637C7" w:rsidRPr="00413148">
        <w:t xml:space="preserve"> </w:t>
      </w:r>
      <w:r w:rsidRPr="00413148">
        <w:t xml:space="preserve">Part </w:t>
      </w:r>
      <w:r w:rsidR="00353E3C" w:rsidRPr="00413148">
        <w:t>II(A)(</w:t>
      </w:r>
      <w:proofErr w:type="spellStart"/>
      <w:r w:rsidR="00353E3C" w:rsidRPr="00413148">
        <w:t>i</w:t>
      </w:r>
      <w:proofErr w:type="spellEnd"/>
      <w:r w:rsidR="00353E3C" w:rsidRPr="00413148">
        <w:t>) a</w:t>
      </w:r>
      <w:r w:rsidR="00EC2685" w:rsidRPr="00413148">
        <w:t>n</w:t>
      </w:r>
      <w:r w:rsidR="00353E3C" w:rsidRPr="00413148">
        <w:t>d</w:t>
      </w:r>
      <w:r w:rsidRPr="00413148">
        <w:t xml:space="preserve"> </w:t>
      </w:r>
      <w:r w:rsidR="00A637C7" w:rsidRPr="00413148">
        <w:rPr>
          <w:i/>
          <w:iCs/>
        </w:rPr>
        <w:t>infra</w:t>
      </w:r>
      <w:r w:rsidR="00A637C7" w:rsidRPr="00413148">
        <w:t xml:space="preserve"> Part </w:t>
      </w:r>
      <w:r w:rsidRPr="00413148">
        <w:t>I</w:t>
      </w:r>
      <w:r w:rsidR="003028C2" w:rsidRPr="00413148">
        <w:t>V</w:t>
      </w:r>
      <w:r w:rsidRPr="00413148">
        <w:t>, discussing reasonable accommodations in the pre-employment context.</w:t>
      </w:r>
    </w:p>
  </w:footnote>
  <w:footnote w:id="113">
    <w:p w14:paraId="66CBF4B8" w14:textId="6872D2F9" w:rsidR="00AA6603" w:rsidRPr="00413148" w:rsidRDefault="00AA6603" w:rsidP="00166DFD">
      <w:pPr>
        <w:pStyle w:val="FootnoteText"/>
        <w:ind w:left="0"/>
      </w:pPr>
      <w:r w:rsidRPr="00413148">
        <w:rPr>
          <w:rStyle w:val="FootnoteReference"/>
        </w:rPr>
        <w:footnoteRef/>
      </w:r>
      <w:r w:rsidRPr="00413148">
        <w:t xml:space="preserve"> </w:t>
      </w:r>
      <w:r w:rsidRPr="00413148">
        <w:rPr>
          <w:i/>
          <w:iCs/>
        </w:rPr>
        <w:t>See</w:t>
      </w:r>
      <w:r w:rsidRPr="00413148">
        <w:t xml:space="preserve"> N.Y</w:t>
      </w:r>
      <w:r w:rsidR="004F65B0" w:rsidRPr="00413148">
        <w:t>.</w:t>
      </w:r>
      <w:r w:rsidRPr="00413148">
        <w:t xml:space="preserve">C. Admin. Code § 8-107(1)(d); </w:t>
      </w:r>
      <w:r w:rsidRPr="00413148">
        <w:rPr>
          <w:i/>
          <w:iCs/>
        </w:rPr>
        <w:t>see also</w:t>
      </w:r>
      <w:r w:rsidRPr="00413148">
        <w:t xml:space="preserve"> 42 U.S.C. §</w:t>
      </w:r>
      <w:r w:rsidR="008561D8" w:rsidRPr="00413148">
        <w:t xml:space="preserve"> </w:t>
      </w:r>
      <w:r w:rsidRPr="00413148">
        <w:t>12112(d)(3).</w:t>
      </w:r>
    </w:p>
  </w:footnote>
  <w:footnote w:id="114">
    <w:p w14:paraId="397818ED" w14:textId="77777777" w:rsidR="00AA6603" w:rsidRPr="00413148" w:rsidRDefault="00AA6603" w:rsidP="00166DFD">
      <w:pPr>
        <w:pStyle w:val="FootnoteText"/>
        <w:ind w:left="0"/>
      </w:pPr>
      <w:r w:rsidRPr="00413148">
        <w:rPr>
          <w:rStyle w:val="FootnoteReference"/>
        </w:rPr>
        <w:footnoteRef/>
      </w:r>
      <w:r w:rsidRPr="00413148">
        <w:t xml:space="preserve"> </w:t>
      </w:r>
      <w:r w:rsidRPr="00413148">
        <w:rPr>
          <w:i/>
          <w:iCs/>
        </w:rPr>
        <w:t>See</w:t>
      </w:r>
      <w:r w:rsidRPr="00413148">
        <w:t>,</w:t>
      </w:r>
      <w:r w:rsidRPr="00413148">
        <w:rPr>
          <w:i/>
          <w:iCs/>
        </w:rPr>
        <w:t xml:space="preserve"> e.g.</w:t>
      </w:r>
      <w:r w:rsidRPr="00413148">
        <w:t>, 29 C.F.R. § 1630.14(b)(3).</w:t>
      </w:r>
    </w:p>
  </w:footnote>
  <w:footnote w:id="115">
    <w:p w14:paraId="4F610D05" w14:textId="77777777" w:rsidR="00AA6603" w:rsidRPr="00413148" w:rsidRDefault="00AA6603" w:rsidP="009201B7">
      <w:pPr>
        <w:pStyle w:val="FootnoteText"/>
        <w:ind w:left="0"/>
      </w:pPr>
      <w:r w:rsidRPr="00413148">
        <w:rPr>
          <w:rStyle w:val="FootnoteReference"/>
        </w:rPr>
        <w:footnoteRef/>
      </w:r>
      <w:r w:rsidRPr="00413148">
        <w:t xml:space="preserve"> N.Y.C. Admin. Code § 8-107(1)(a)(2).</w:t>
      </w:r>
    </w:p>
  </w:footnote>
  <w:footnote w:id="116">
    <w:p w14:paraId="593D593F" w14:textId="3DB0EA21" w:rsidR="00AA6603" w:rsidRPr="00413148" w:rsidRDefault="00AA6603" w:rsidP="009201B7">
      <w:pPr>
        <w:pStyle w:val="FootnoteText"/>
        <w:ind w:left="0"/>
      </w:pPr>
      <w:r w:rsidRPr="00413148">
        <w:rPr>
          <w:rStyle w:val="FootnoteReference"/>
        </w:rPr>
        <w:footnoteRef/>
      </w:r>
      <w:r w:rsidRPr="00413148">
        <w:t xml:space="preserve"> </w:t>
      </w:r>
      <w:r w:rsidR="00CF007C" w:rsidRPr="00413148">
        <w:t xml:space="preserve">The </w:t>
      </w:r>
      <w:r w:rsidR="00F43CE8" w:rsidRPr="00413148">
        <w:t xml:space="preserve">NYCHRL </w:t>
      </w:r>
      <w:r w:rsidR="00CF007C" w:rsidRPr="00413148">
        <w:t xml:space="preserve">does allow policies that </w:t>
      </w:r>
      <w:r w:rsidR="005A47CA" w:rsidRPr="00413148">
        <w:t xml:space="preserve">have a disparate impact when </w:t>
      </w:r>
      <w:r w:rsidR="00FD0E4B" w:rsidRPr="00413148">
        <w:t>the policy or practice</w:t>
      </w:r>
      <w:r w:rsidR="005A47CA" w:rsidRPr="00413148">
        <w:t xml:space="preserve"> bears a significant relationship </w:t>
      </w:r>
      <w:r w:rsidR="00C31693" w:rsidRPr="00413148">
        <w:t xml:space="preserve">to a significant business objective </w:t>
      </w:r>
      <w:r w:rsidR="00FD0E4B" w:rsidRPr="00413148">
        <w:t>and an</w:t>
      </w:r>
      <w:r w:rsidR="00C31693" w:rsidRPr="00413148">
        <w:t xml:space="preserve"> alternative that would achieve a</w:t>
      </w:r>
      <w:r w:rsidR="00FD0E4B" w:rsidRPr="00413148">
        <w:t xml:space="preserve"> </w:t>
      </w:r>
      <w:r w:rsidR="00C31693" w:rsidRPr="00413148">
        <w:t>significant business objective without a disparate impact is</w:t>
      </w:r>
      <w:r w:rsidR="00C31693" w:rsidRPr="00413148">
        <w:br/>
      </w:r>
      <w:r w:rsidR="00FD0E4B" w:rsidRPr="00413148">
        <w:t>un</w:t>
      </w:r>
      <w:r w:rsidR="00C31693" w:rsidRPr="00413148">
        <w:t>available</w:t>
      </w:r>
      <w:r w:rsidR="00FD0E4B" w:rsidRPr="00413148">
        <w:t xml:space="preserve">. </w:t>
      </w:r>
      <w:r w:rsidR="00FD0E4B" w:rsidRPr="00413148">
        <w:rPr>
          <w:i/>
        </w:rPr>
        <w:t>See</w:t>
      </w:r>
      <w:r w:rsidR="00C31693" w:rsidRPr="00413148">
        <w:t xml:space="preserve"> </w:t>
      </w:r>
      <w:r w:rsidRPr="00413148">
        <w:t>N.Y.C. Admin. Code § 8-107(17)(a).</w:t>
      </w:r>
    </w:p>
  </w:footnote>
  <w:footnote w:id="117">
    <w:p w14:paraId="2195BD53" w14:textId="77777777" w:rsidR="007942C4" w:rsidRPr="00413148" w:rsidRDefault="007942C4" w:rsidP="009201B7">
      <w:pPr>
        <w:pStyle w:val="FootnoteText"/>
        <w:ind w:left="0"/>
      </w:pPr>
      <w:r w:rsidRPr="00413148">
        <w:rPr>
          <w:rStyle w:val="FootnoteReference"/>
        </w:rPr>
        <w:footnoteRef/>
      </w:r>
      <w:r w:rsidRPr="00413148">
        <w:t xml:space="preserve"> </w:t>
      </w:r>
      <w:r w:rsidRPr="00413148">
        <w:rPr>
          <w:i/>
          <w:iCs/>
        </w:rPr>
        <w:t>See id.</w:t>
      </w:r>
      <w:r w:rsidRPr="00413148">
        <w:t xml:space="preserve"> Any medical information obtained by the employer during periodic medical examinations or in any other context, such as a request for reasonable accommodations, should be kept confidential and in separate medical files to avoid unnecessarily disclosing an applicant’s private medical documents and to ensure that managers and other employees are not accidentally given access to the information.</w:t>
      </w:r>
    </w:p>
  </w:footnote>
  <w:footnote w:id="118">
    <w:p w14:paraId="088CE12A" w14:textId="6952C0C2" w:rsidR="00AA6603" w:rsidRPr="00413148" w:rsidRDefault="00AA6603" w:rsidP="009201B7">
      <w:pPr>
        <w:pStyle w:val="FootnoteText"/>
        <w:ind w:left="0"/>
      </w:pPr>
      <w:r w:rsidRPr="00413148">
        <w:rPr>
          <w:rStyle w:val="FootnoteReference"/>
        </w:rPr>
        <w:footnoteRef/>
      </w:r>
      <w:r w:rsidRPr="00413148">
        <w:t xml:space="preserve"> The Equal Employment Opportunity Commission</w:t>
      </w:r>
      <w:r w:rsidR="0017788C" w:rsidRPr="00413148">
        <w:t>’s</w:t>
      </w:r>
      <w:r w:rsidRPr="00413148">
        <w:t xml:space="preserve"> (EEOC) regulations implementing the ADA define a “direct threat” as “a significant risk of substantial harm to the health or safety of others that </w:t>
      </w:r>
      <w:r w:rsidRPr="00413148">
        <w:rPr>
          <w:i/>
          <w:iCs/>
        </w:rPr>
        <w:t>cannot be eliminated or reduced by reasonable accommodation</w:t>
      </w:r>
      <w:r w:rsidRPr="00413148">
        <w:t xml:space="preserve">.” 41 C.F.R. § 60-741.2(e). The regulations further state that “[t]he determination that an individual with a disability poses a direct threat shall be based on an individualized assessment of the individual’s present ability to perform safely the essential functions of the job” and in determining whether an individual would pose a direct threat, factors to be considered include: (1) the duration of the risk; (2) the nature and severity of the potential harm; (3) the likelihood that the potential harm will occur; and (4) the imminence of the potential harm. </w:t>
      </w:r>
      <w:r w:rsidR="008D251C" w:rsidRPr="00413148">
        <w:rPr>
          <w:i/>
          <w:iCs/>
        </w:rPr>
        <w:t>See i</w:t>
      </w:r>
      <w:r w:rsidRPr="00413148">
        <w:rPr>
          <w:i/>
          <w:iCs/>
        </w:rPr>
        <w:t>d.</w:t>
      </w:r>
    </w:p>
  </w:footnote>
  <w:footnote w:id="119">
    <w:p w14:paraId="1FA6AABA" w14:textId="6B0546B1" w:rsidR="00AA6603" w:rsidRPr="00413148" w:rsidRDefault="00AA6603" w:rsidP="009201B7">
      <w:pPr>
        <w:pStyle w:val="FootnoteText"/>
        <w:ind w:left="0"/>
      </w:pPr>
      <w:r w:rsidRPr="00413148">
        <w:rPr>
          <w:rStyle w:val="FootnoteReference"/>
        </w:rPr>
        <w:footnoteRef/>
      </w:r>
      <w:r w:rsidRPr="00413148">
        <w:t xml:space="preserve"> </w:t>
      </w:r>
      <w:r w:rsidRPr="00413148">
        <w:rPr>
          <w:i/>
          <w:iCs/>
        </w:rPr>
        <w:t xml:space="preserve">See </w:t>
      </w:r>
      <w:r w:rsidRPr="00413148">
        <w:rPr>
          <w:smallCaps/>
        </w:rPr>
        <w:t>U.S. Equal Emp. Opportunity Comm’n</w:t>
      </w:r>
      <w:r w:rsidRPr="00413148">
        <w:t xml:space="preserve">, </w:t>
      </w:r>
      <w:r w:rsidR="00C14696" w:rsidRPr="00FA62EF">
        <w:rPr>
          <w:i/>
          <w:iCs/>
        </w:rPr>
        <w:t>supra</w:t>
      </w:r>
      <w:r w:rsidR="00C14696" w:rsidRPr="00413148">
        <w:t xml:space="preserve"> note 37</w:t>
      </w:r>
      <w:r w:rsidRPr="00413148">
        <w:t xml:space="preserve">. </w:t>
      </w:r>
    </w:p>
  </w:footnote>
  <w:footnote w:id="120">
    <w:p w14:paraId="57F06A53" w14:textId="77777777" w:rsidR="00AA6603" w:rsidRPr="00413148" w:rsidRDefault="00AA6603" w:rsidP="009201B7">
      <w:pPr>
        <w:pStyle w:val="FootnoteText"/>
        <w:ind w:left="0"/>
      </w:pPr>
      <w:r w:rsidRPr="00413148">
        <w:rPr>
          <w:rStyle w:val="FootnoteReference"/>
        </w:rPr>
        <w:footnoteRef/>
      </w:r>
      <w:r w:rsidRPr="00413148">
        <w:t xml:space="preserve"> </w:t>
      </w:r>
      <w:r w:rsidRPr="008B3280">
        <w:rPr>
          <w:i/>
          <w:iCs/>
        </w:rPr>
        <w:t>See id</w:t>
      </w:r>
      <w:r w:rsidRPr="00413148">
        <w:t>.</w:t>
      </w:r>
    </w:p>
  </w:footnote>
  <w:footnote w:id="121">
    <w:p w14:paraId="3D2BDA4E" w14:textId="77777777" w:rsidR="00AA6603" w:rsidRPr="00413148" w:rsidRDefault="00AA6603" w:rsidP="009201B7">
      <w:pPr>
        <w:pStyle w:val="FootnoteText"/>
        <w:ind w:left="0"/>
        <w:rPr>
          <w:i/>
        </w:rPr>
      </w:pPr>
      <w:r w:rsidRPr="00413148">
        <w:rPr>
          <w:rStyle w:val="FootnoteReference"/>
        </w:rPr>
        <w:footnoteRef/>
      </w:r>
      <w:r w:rsidRPr="00413148">
        <w:t xml:space="preserve"> </w:t>
      </w:r>
      <w:r w:rsidRPr="00413148">
        <w:rPr>
          <w:i/>
        </w:rPr>
        <w:t>See</w:t>
      </w:r>
      <w:r w:rsidRPr="00413148">
        <w:t xml:space="preserve"> N.Y.C. Admin. Code § 8-102.</w:t>
      </w:r>
    </w:p>
  </w:footnote>
  <w:footnote w:id="122">
    <w:p w14:paraId="5662A83E" w14:textId="77777777" w:rsidR="00AA6603" w:rsidRPr="00413148" w:rsidRDefault="00AA6603" w:rsidP="00166DFD">
      <w:pPr>
        <w:pStyle w:val="FootnoteText"/>
        <w:ind w:left="0"/>
      </w:pPr>
      <w:r w:rsidRPr="00413148">
        <w:rPr>
          <w:rStyle w:val="FootnoteReference"/>
        </w:rPr>
        <w:footnoteRef/>
      </w:r>
      <w:r w:rsidRPr="00413148">
        <w:t xml:space="preserve"> For example, a segregated setting may be a reasonable accommodation for an employee with a disability that requires a quieter workspace with less noise or fewer distractions.</w:t>
      </w:r>
    </w:p>
  </w:footnote>
  <w:footnote w:id="123">
    <w:p w14:paraId="21DD3E6C" w14:textId="09ED7E93" w:rsidR="008A3714" w:rsidRPr="00413148" w:rsidRDefault="008A3714" w:rsidP="00166DFD">
      <w:pPr>
        <w:pStyle w:val="FootnoteText"/>
        <w:ind w:left="0"/>
      </w:pPr>
      <w:r w:rsidRPr="00413148">
        <w:rPr>
          <w:rStyle w:val="FootnoteReference"/>
        </w:rPr>
        <w:footnoteRef/>
      </w:r>
      <w:r w:rsidRPr="00413148">
        <w:t xml:space="preserve"> </w:t>
      </w:r>
      <w:r w:rsidRPr="00413148">
        <w:rPr>
          <w:i/>
          <w:iCs/>
        </w:rPr>
        <w:t xml:space="preserve">See </w:t>
      </w:r>
      <w:r w:rsidR="00D1113E" w:rsidRPr="00413148">
        <w:rPr>
          <w:i/>
          <w:iCs/>
        </w:rPr>
        <w:t>supra</w:t>
      </w:r>
      <w:r w:rsidR="00D1113E" w:rsidRPr="00413148">
        <w:t xml:space="preserve"> note</w:t>
      </w:r>
      <w:r w:rsidR="002235E0" w:rsidRPr="00413148">
        <w:t xml:space="preserve"> 66</w:t>
      </w:r>
      <w:r w:rsidR="00D1113E" w:rsidRPr="00413148">
        <w:t>.</w:t>
      </w:r>
    </w:p>
  </w:footnote>
  <w:footnote w:id="124">
    <w:p w14:paraId="3FB07E4A" w14:textId="042E3C25" w:rsidR="00670F8C" w:rsidRPr="00413148" w:rsidRDefault="00670F8C" w:rsidP="00166DFD">
      <w:pPr>
        <w:pStyle w:val="FootnoteText"/>
        <w:ind w:left="0"/>
      </w:pPr>
      <w:r w:rsidRPr="00413148">
        <w:rPr>
          <w:rStyle w:val="FootnoteReference"/>
        </w:rPr>
        <w:footnoteRef/>
      </w:r>
      <w:r w:rsidRPr="00413148">
        <w:t xml:space="preserve"> </w:t>
      </w:r>
      <w:r w:rsidRPr="00413148">
        <w:rPr>
          <w:i/>
        </w:rPr>
        <w:t>See</w:t>
      </w:r>
      <w:r w:rsidRPr="00413148">
        <w:t xml:space="preserve"> </w:t>
      </w:r>
      <w:r w:rsidR="00E66473" w:rsidRPr="00413148">
        <w:rPr>
          <w:i/>
        </w:rPr>
        <w:t>supra</w:t>
      </w:r>
      <w:r w:rsidR="00E66473" w:rsidRPr="00413148">
        <w:t xml:space="preserve"> </w:t>
      </w:r>
      <w:r w:rsidRPr="00413148">
        <w:t>Part I(D)(ii</w:t>
      </w:r>
      <w:r w:rsidRPr="00413148" w:rsidDel="00813BFD">
        <w:t>)</w:t>
      </w:r>
      <w:r w:rsidRPr="00413148">
        <w:t xml:space="preserve"> for a discussion on cooperative dialogue. If the animal poses a direct threat to the health or safety of</w:t>
      </w:r>
      <w:r w:rsidR="009F51BA" w:rsidRPr="00413148">
        <w:t>,</w:t>
      </w:r>
      <w:r w:rsidRPr="00413148">
        <w:t xml:space="preserve"> or creates a nuisance for</w:t>
      </w:r>
      <w:r w:rsidR="009F51BA" w:rsidRPr="00413148">
        <w:t>,</w:t>
      </w:r>
      <w:r w:rsidRPr="00413148">
        <w:t xml:space="preserve"> other individuals that cannot be eliminated or reduced to an acceptable level by another reasonable accommodation, the </w:t>
      </w:r>
      <w:r w:rsidR="00B56714" w:rsidRPr="00413148">
        <w:t>employer</w:t>
      </w:r>
      <w:r w:rsidRPr="00413148">
        <w:t xml:space="preserve"> may deny the request. The </w:t>
      </w:r>
      <w:r w:rsidR="00B56714" w:rsidRPr="00413148">
        <w:t>employ</w:t>
      </w:r>
      <w:r w:rsidRPr="00413148">
        <w:t>er must base such a determination upon consideration of the behavior and actions of the particular animal at issue and not on speculation or fear about the types of harm or damage an animal may cause.</w:t>
      </w:r>
    </w:p>
  </w:footnote>
  <w:footnote w:id="125">
    <w:p w14:paraId="70E9BA8A" w14:textId="00557C6E" w:rsidR="00670F8C" w:rsidRPr="00413148" w:rsidRDefault="00670F8C" w:rsidP="009201B7">
      <w:pPr>
        <w:pStyle w:val="FootnoteText"/>
        <w:ind w:left="0"/>
      </w:pPr>
      <w:r w:rsidRPr="00413148">
        <w:rPr>
          <w:rStyle w:val="FootnoteReference"/>
        </w:rPr>
        <w:footnoteRef/>
      </w:r>
      <w:r w:rsidRPr="00413148">
        <w:t xml:space="preserve"> The New York City Health Code enumerates a list of animals that are prohibited within the City of New York. </w:t>
      </w:r>
      <w:r w:rsidR="00934755" w:rsidRPr="00413148">
        <w:t xml:space="preserve">24 </w:t>
      </w:r>
      <w:r w:rsidRPr="00413148">
        <w:t>N.Y.</w:t>
      </w:r>
      <w:r w:rsidR="0029449D" w:rsidRPr="00413148">
        <w:t>C.</w:t>
      </w:r>
      <w:r w:rsidR="00934755" w:rsidRPr="00413148">
        <w:t>R.R.</w:t>
      </w:r>
      <w:r w:rsidRPr="00413148">
        <w:t xml:space="preserve"> § 161.01, </w:t>
      </w:r>
      <w:r w:rsidRPr="00413148">
        <w:rPr>
          <w:i/>
        </w:rPr>
        <w:t>available at</w:t>
      </w:r>
      <w:r w:rsidRPr="00413148">
        <w:t xml:space="preserve"> </w:t>
      </w:r>
      <w:r w:rsidRPr="00413148">
        <w:rPr>
          <w:rFonts w:eastAsiaTheme="majorEastAsia"/>
        </w:rPr>
        <w:t>https://www.nyc.gov/assets/doh/downloads/pdf/about/healthcode/health-code-article161.pdf</w:t>
      </w:r>
      <w:r w:rsidRPr="00413148">
        <w:t>.</w:t>
      </w:r>
    </w:p>
  </w:footnote>
  <w:footnote w:id="126">
    <w:p w14:paraId="51A64248" w14:textId="577FE960" w:rsidR="005E4DB6" w:rsidRPr="00413148" w:rsidRDefault="005E4DB6" w:rsidP="005E4DB6">
      <w:pPr>
        <w:spacing w:after="120" w:line="40" w:lineRule="atLeast"/>
        <w:rPr>
          <w:rFonts w:cs="Arial"/>
          <w:szCs w:val="32"/>
        </w:rPr>
      </w:pPr>
      <w:r w:rsidRPr="00413148">
        <w:rPr>
          <w:rStyle w:val="FootnoteReference"/>
          <w:rFonts w:cs="Arial"/>
          <w:szCs w:val="32"/>
        </w:rPr>
        <w:footnoteRef/>
      </w:r>
      <w:r w:rsidRPr="00413148">
        <w:rPr>
          <w:rFonts w:cs="Arial"/>
          <w:szCs w:val="32"/>
        </w:rPr>
        <w:t xml:space="preserve"> </w:t>
      </w:r>
      <w:r w:rsidRPr="00413148">
        <w:rPr>
          <w:rFonts w:cs="Arial"/>
          <w:i/>
          <w:szCs w:val="32"/>
        </w:rPr>
        <w:t xml:space="preserve">See </w:t>
      </w:r>
      <w:r w:rsidR="006B75AE" w:rsidRPr="00413148">
        <w:rPr>
          <w:rFonts w:cs="Arial"/>
          <w:i/>
          <w:szCs w:val="32"/>
        </w:rPr>
        <w:t>supra</w:t>
      </w:r>
      <w:r w:rsidR="006B75AE" w:rsidRPr="00413148">
        <w:rPr>
          <w:rFonts w:cs="Arial"/>
          <w:szCs w:val="32"/>
        </w:rPr>
        <w:t xml:space="preserve"> </w:t>
      </w:r>
      <w:r w:rsidRPr="00413148">
        <w:rPr>
          <w:rFonts w:cs="Arial"/>
          <w:szCs w:val="32"/>
        </w:rPr>
        <w:t>Part I(D)(ii</w:t>
      </w:r>
      <w:r w:rsidRPr="00413148" w:rsidDel="00D9474B">
        <w:rPr>
          <w:rFonts w:cs="Arial"/>
          <w:szCs w:val="32"/>
        </w:rPr>
        <w:t>)</w:t>
      </w:r>
      <w:r w:rsidRPr="00413148">
        <w:rPr>
          <w:rFonts w:cs="Arial"/>
          <w:szCs w:val="32"/>
        </w:rPr>
        <w:t>(b), discussing how in circumstances where an employee’s or applicant’s disability and the need for the requested accommodation is readily apparent or otherwise known to the covered entity, making additional inquiries or asking for medical documentation about the requester’s disability or the disability-related need for the accommodation may constitute harassment.</w:t>
      </w:r>
    </w:p>
  </w:footnote>
  <w:footnote w:id="127">
    <w:p w14:paraId="7249B1A0" w14:textId="18E3DA39" w:rsidR="00AA6603" w:rsidRPr="00413148" w:rsidRDefault="00AA6603" w:rsidP="0035367F">
      <w:pPr>
        <w:pStyle w:val="FootnoteText"/>
        <w:ind w:left="0"/>
      </w:pPr>
      <w:r w:rsidRPr="00413148">
        <w:rPr>
          <w:rStyle w:val="FootnoteReference"/>
        </w:rPr>
        <w:footnoteRef/>
      </w:r>
      <w:r w:rsidRPr="00413148">
        <w:t xml:space="preserve"> The new position should be one that the employee is qualified to perform and that pays a comparable salary. Reassignment does not require the employer to violate a bona fide seniority system or collective bargaining agreement under which someone else is entitled to the vacant position. Reassignment should be considered only if there are no reasonable accommodations available that would allow the employee to perform the essential functions of </w:t>
      </w:r>
      <w:r w:rsidR="00596895" w:rsidRPr="00413148">
        <w:t>their</w:t>
      </w:r>
      <w:r w:rsidRPr="00413148">
        <w:t xml:space="preserve"> current job.</w:t>
      </w:r>
    </w:p>
  </w:footnote>
  <w:footnote w:id="128">
    <w:p w14:paraId="10302F6E" w14:textId="77777777" w:rsidR="00AA6603" w:rsidRPr="00413148" w:rsidRDefault="00AA6603" w:rsidP="00BA78D9">
      <w:pPr>
        <w:pStyle w:val="FootnoteText"/>
        <w:ind w:left="0"/>
      </w:pPr>
      <w:r w:rsidRPr="00413148">
        <w:rPr>
          <w:rStyle w:val="FootnoteReference"/>
        </w:rPr>
        <w:footnoteRef/>
      </w:r>
      <w:r w:rsidRPr="00413148">
        <w:t xml:space="preserve"> </w:t>
      </w:r>
      <w:r w:rsidRPr="00413148">
        <w:rPr>
          <w:i/>
          <w:iCs/>
        </w:rPr>
        <w:t xml:space="preserve">See </w:t>
      </w:r>
      <w:r w:rsidRPr="00413148">
        <w:rPr>
          <w:smallCaps/>
        </w:rPr>
        <w:t xml:space="preserve">U.S. Equal Emp. Emp’t Opportunity Comm’n, Employer-Provided Leave and the Americans with Disabilities Act </w:t>
      </w:r>
      <w:r w:rsidRPr="00413148">
        <w:t xml:space="preserve">(May 9, 2016), </w:t>
      </w:r>
      <w:hyperlink r:id="rId6" w:history="1">
        <w:r w:rsidRPr="00413148">
          <w:t>https://www1.eeoc.gov//eeoc/publications/ada-leave.cfm?renderforprint=1</w:t>
        </w:r>
      </w:hyperlink>
      <w:r w:rsidRPr="00413148">
        <w:t>.</w:t>
      </w:r>
    </w:p>
  </w:footnote>
  <w:footnote w:id="129">
    <w:p w14:paraId="23983C72" w14:textId="5D692582" w:rsidR="00790BE1" w:rsidRPr="00413148" w:rsidRDefault="00790BE1" w:rsidP="0073210A">
      <w:pPr>
        <w:pStyle w:val="FootnoteText"/>
        <w:ind w:left="0"/>
      </w:pPr>
      <w:r w:rsidRPr="00413148">
        <w:rPr>
          <w:rStyle w:val="FootnoteReference"/>
        </w:rPr>
        <w:footnoteRef/>
      </w:r>
      <w:r w:rsidRPr="00413148">
        <w:t xml:space="preserve"> </w:t>
      </w:r>
      <w:r w:rsidR="001E1D88" w:rsidRPr="00413148">
        <w:rPr>
          <w:i/>
          <w:iCs/>
        </w:rPr>
        <w:t>See supra</w:t>
      </w:r>
      <w:r w:rsidR="001E1D88" w:rsidRPr="00413148">
        <w:t xml:space="preserve"> note 83</w:t>
      </w:r>
      <w:r w:rsidRPr="00413148">
        <w:t>.</w:t>
      </w:r>
    </w:p>
  </w:footnote>
  <w:footnote w:id="130">
    <w:p w14:paraId="22539EB5" w14:textId="23C0C749" w:rsidR="00790BE1" w:rsidRPr="00413148" w:rsidRDefault="00790BE1" w:rsidP="0073210A">
      <w:pPr>
        <w:pStyle w:val="FootnoteText"/>
        <w:ind w:left="0"/>
      </w:pPr>
      <w:r w:rsidRPr="00413148">
        <w:rPr>
          <w:rStyle w:val="FootnoteReference"/>
        </w:rPr>
        <w:footnoteRef/>
      </w:r>
      <w:r w:rsidRPr="00413148">
        <w:t xml:space="preserve"> </w:t>
      </w:r>
      <w:r w:rsidR="00516BD6" w:rsidRPr="00413148">
        <w:rPr>
          <w:i/>
          <w:iCs/>
        </w:rPr>
        <w:t>See supra</w:t>
      </w:r>
      <w:r w:rsidR="00516BD6" w:rsidRPr="00413148">
        <w:t xml:space="preserve"> note 95. </w:t>
      </w:r>
    </w:p>
  </w:footnote>
  <w:footnote w:id="131">
    <w:p w14:paraId="7CFC4F8E" w14:textId="77777777" w:rsidR="00790BE1" w:rsidRPr="00413148" w:rsidRDefault="00790BE1" w:rsidP="0073210A">
      <w:pPr>
        <w:pStyle w:val="FootnoteText"/>
        <w:ind w:left="0"/>
      </w:pPr>
      <w:r w:rsidRPr="00413148">
        <w:rPr>
          <w:rStyle w:val="FootnoteReference"/>
        </w:rPr>
        <w:footnoteRef/>
      </w:r>
      <w:r w:rsidRPr="00413148">
        <w:t xml:space="preserve"> N.Y.C. Admin. Code § 8-102.</w:t>
      </w:r>
    </w:p>
  </w:footnote>
  <w:footnote w:id="132">
    <w:p w14:paraId="7684F790" w14:textId="7AD3E6E8" w:rsidR="00790BE1" w:rsidRPr="00413148" w:rsidRDefault="00790BE1" w:rsidP="0073210A">
      <w:pPr>
        <w:pStyle w:val="FootnoteText"/>
        <w:ind w:left="0"/>
      </w:pPr>
      <w:r w:rsidRPr="00413148">
        <w:rPr>
          <w:rStyle w:val="FootnoteReference"/>
        </w:rPr>
        <w:footnoteRef/>
      </w:r>
      <w:r w:rsidRPr="00413148">
        <w:t xml:space="preserve"> </w:t>
      </w:r>
      <w:r w:rsidRPr="00413148">
        <w:rPr>
          <w:i/>
        </w:rPr>
        <w:t xml:space="preserve">See </w:t>
      </w:r>
      <w:r w:rsidR="00516BD6" w:rsidRPr="00413148">
        <w:rPr>
          <w:i/>
        </w:rPr>
        <w:t xml:space="preserve">supra </w:t>
      </w:r>
      <w:r w:rsidR="00516BD6" w:rsidRPr="00413148">
        <w:rPr>
          <w:iCs/>
        </w:rPr>
        <w:t>note 97</w:t>
      </w:r>
      <w:r w:rsidRPr="00413148">
        <w:t>.</w:t>
      </w:r>
    </w:p>
  </w:footnote>
  <w:footnote w:id="133">
    <w:p w14:paraId="661A4E9D" w14:textId="18CD31B4" w:rsidR="00790BE1" w:rsidRPr="00413148" w:rsidRDefault="00790BE1" w:rsidP="00790BE1">
      <w:pPr>
        <w:spacing w:after="120" w:line="40" w:lineRule="atLeast"/>
      </w:pPr>
      <w:r w:rsidRPr="00413148">
        <w:rPr>
          <w:rStyle w:val="FootnoteReference"/>
          <w:rFonts w:cs="Arial"/>
          <w:szCs w:val="32"/>
        </w:rPr>
        <w:footnoteRef/>
      </w:r>
      <w:r w:rsidRPr="00413148">
        <w:t xml:space="preserve"> </w:t>
      </w:r>
      <w:r w:rsidR="00255799" w:rsidRPr="00413148">
        <w:rPr>
          <w:i/>
        </w:rPr>
        <w:t>See supra</w:t>
      </w:r>
      <w:r w:rsidR="00255799" w:rsidRPr="00413148">
        <w:rPr>
          <w:iCs/>
        </w:rPr>
        <w:t xml:space="preserve"> note 98</w:t>
      </w:r>
      <w:r w:rsidRPr="00413148">
        <w:t>.</w:t>
      </w:r>
    </w:p>
  </w:footnote>
  <w:footnote w:id="134">
    <w:p w14:paraId="1A46CE41" w14:textId="77777777" w:rsidR="00790BE1" w:rsidRPr="00413148" w:rsidRDefault="00790BE1" w:rsidP="0073210A">
      <w:pPr>
        <w:pStyle w:val="FootnoteText"/>
        <w:ind w:left="0"/>
      </w:pPr>
      <w:r w:rsidRPr="000A1C6F">
        <w:rPr>
          <w:rStyle w:val="FootnoteReference"/>
        </w:rPr>
        <w:footnoteRef/>
      </w:r>
      <w:r w:rsidRPr="00413148">
        <w:t xml:space="preserve"> </w:t>
      </w:r>
      <w:r w:rsidR="00C26954" w:rsidRPr="00413148">
        <w:rPr>
          <w:i/>
        </w:rPr>
        <w:t>See</w:t>
      </w:r>
      <w:r w:rsidRPr="00413148">
        <w:t xml:space="preserve"> N.Y.C. Admin. Code § 8-102.</w:t>
      </w:r>
    </w:p>
  </w:footnote>
  <w:footnote w:id="135">
    <w:p w14:paraId="296358B3" w14:textId="6FA371A9" w:rsidR="00790BE1" w:rsidRPr="00413148" w:rsidRDefault="00790BE1" w:rsidP="0073210A">
      <w:pPr>
        <w:pStyle w:val="FootnoteText"/>
        <w:ind w:left="0"/>
      </w:pPr>
      <w:r w:rsidRPr="00413148">
        <w:rPr>
          <w:rStyle w:val="FootnoteReference"/>
        </w:rPr>
        <w:footnoteRef/>
      </w:r>
      <w:r w:rsidRPr="00413148">
        <w:t xml:space="preserve"> </w:t>
      </w:r>
      <w:r w:rsidRPr="00413148">
        <w:rPr>
          <w:i/>
        </w:rPr>
        <w:t>See</w:t>
      </w:r>
      <w:r w:rsidRPr="00413148">
        <w:t xml:space="preserve"> </w:t>
      </w:r>
      <w:r w:rsidR="008B668C" w:rsidRPr="00413148">
        <w:t xml:space="preserve">U.S. </w:t>
      </w:r>
      <w:r w:rsidRPr="00413148">
        <w:t>E</w:t>
      </w:r>
      <w:r w:rsidR="008B668C" w:rsidRPr="00413148">
        <w:t xml:space="preserve">qual </w:t>
      </w:r>
      <w:r w:rsidRPr="00413148">
        <w:t>E</w:t>
      </w:r>
      <w:r w:rsidR="008B668C" w:rsidRPr="00413148">
        <w:t xml:space="preserve">mp. </w:t>
      </w:r>
      <w:r w:rsidRPr="00413148">
        <w:t>O</w:t>
      </w:r>
      <w:r w:rsidR="008B668C" w:rsidRPr="00413148">
        <w:t xml:space="preserve">pportunity </w:t>
      </w:r>
      <w:r w:rsidRPr="00413148">
        <w:t>C</w:t>
      </w:r>
      <w:r w:rsidR="008B668C" w:rsidRPr="00413148">
        <w:t>omm’n</w:t>
      </w:r>
      <w:r w:rsidRPr="00413148">
        <w:t>, Enforcement Guidance: Reasonable Accommodation and Undue Hardship Under the Americans with Disabilities Act (Oct. 17, 2002), https://www.eeoc.gov/policy/docs/accommodation.html (“Undue hardship means significant difficulty or expense and focuses on the resources and circumstances of the particular employer in relationship to the cost or difficulty of providing a specific accommodation.”).</w:t>
      </w:r>
    </w:p>
  </w:footnote>
  <w:footnote w:id="136">
    <w:p w14:paraId="634E90A2" w14:textId="5288D30F" w:rsidR="00790BE1" w:rsidRPr="00413148" w:rsidRDefault="00790BE1" w:rsidP="00462ED4">
      <w:pPr>
        <w:spacing w:after="120" w:line="40" w:lineRule="atLeast"/>
      </w:pPr>
      <w:r w:rsidRPr="00413148">
        <w:rPr>
          <w:rStyle w:val="FootnoteReference"/>
          <w:rFonts w:cs="Arial"/>
          <w:szCs w:val="32"/>
        </w:rPr>
        <w:footnoteRef/>
      </w:r>
      <w:r w:rsidRPr="00413148">
        <w:rPr>
          <w:rFonts w:cs="Arial"/>
        </w:rPr>
        <w:t xml:space="preserve"> </w:t>
      </w:r>
      <w:r w:rsidR="00582BE6" w:rsidRPr="00413148">
        <w:rPr>
          <w:i/>
        </w:rPr>
        <w:t xml:space="preserve">See supra </w:t>
      </w:r>
      <w:r w:rsidR="00582BE6" w:rsidRPr="00413148">
        <w:rPr>
          <w:iCs/>
        </w:rPr>
        <w:t>note 62</w:t>
      </w:r>
      <w:r w:rsidRPr="00413148">
        <w:t>.</w:t>
      </w:r>
    </w:p>
  </w:footnote>
  <w:footnote w:id="137">
    <w:p w14:paraId="580F8D3D" w14:textId="618BB654" w:rsidR="00790BE1" w:rsidRPr="00413148" w:rsidRDefault="00790BE1" w:rsidP="00DF20CD">
      <w:pPr>
        <w:pStyle w:val="FootnoteText"/>
        <w:ind w:left="0"/>
      </w:pPr>
      <w:r w:rsidRPr="00413148">
        <w:rPr>
          <w:rStyle w:val="FootnoteReference"/>
        </w:rPr>
        <w:footnoteRef/>
      </w:r>
      <w:r w:rsidRPr="00413148">
        <w:t xml:space="preserve"> </w:t>
      </w:r>
      <w:r w:rsidRPr="00413148">
        <w:rPr>
          <w:i/>
        </w:rPr>
        <w:t xml:space="preserve">See </w:t>
      </w:r>
      <w:r w:rsidRPr="00413148">
        <w:rPr>
          <w:i/>
          <w:bdr w:val="none" w:sz="0" w:space="0" w:color="auto" w:frame="1"/>
        </w:rPr>
        <w:t>In re Russell v. Chae Choe</w:t>
      </w:r>
      <w:r w:rsidRPr="00413148">
        <w:rPr>
          <w:bdr w:val="none" w:sz="0" w:space="0" w:color="auto" w:frame="1"/>
        </w:rPr>
        <w:t>, OATH Index No. 09-</w:t>
      </w:r>
      <w:r w:rsidR="00450A50" w:rsidRPr="00413148">
        <w:rPr>
          <w:bdr w:val="none" w:sz="0" w:space="0" w:color="auto" w:frame="1"/>
        </w:rPr>
        <w:t>2617</w:t>
      </w:r>
      <w:r w:rsidRPr="00413148">
        <w:rPr>
          <w:bdr w:val="none" w:sz="0" w:space="0" w:color="auto" w:frame="1"/>
        </w:rPr>
        <w:t xml:space="preserve">, </w:t>
      </w:r>
      <w:r w:rsidR="00270A82" w:rsidRPr="00413148">
        <w:rPr>
          <w:bdr w:val="none" w:sz="0" w:space="0" w:color="auto" w:frame="1"/>
        </w:rPr>
        <w:t xml:space="preserve">Comm’n </w:t>
      </w:r>
      <w:r w:rsidRPr="00413148">
        <w:rPr>
          <w:bdr w:val="none" w:sz="0" w:space="0" w:color="auto" w:frame="1"/>
        </w:rPr>
        <w:t>Dec. &amp; Order, 2009 WL 6958753</w:t>
      </w:r>
      <w:r w:rsidR="002A72C5" w:rsidRPr="00413148">
        <w:rPr>
          <w:bdr w:val="none" w:sz="0" w:space="0" w:color="auto" w:frame="1"/>
        </w:rPr>
        <w:t>, at *2</w:t>
      </w:r>
      <w:r w:rsidRPr="00413148">
        <w:rPr>
          <w:bdr w:val="none" w:sz="0" w:space="0" w:color="auto" w:frame="1"/>
        </w:rPr>
        <w:t xml:space="preserve"> (Dec. 10, 2009) (holding respondent liable for failure to accommodate where removal of a tub and installation of a shower would not cost the respondent any money, since United Cerebral Palsy of New York had agreed to bear the cost).</w:t>
      </w:r>
    </w:p>
  </w:footnote>
  <w:footnote w:id="138">
    <w:p w14:paraId="67AA36B3" w14:textId="77777777" w:rsidR="00790BE1" w:rsidRPr="00413148" w:rsidRDefault="00790BE1" w:rsidP="00DF20CD">
      <w:pPr>
        <w:pStyle w:val="FootnoteText"/>
        <w:ind w:left="0"/>
      </w:pPr>
      <w:r w:rsidRPr="00413148">
        <w:rPr>
          <w:rStyle w:val="FootnoteReference"/>
        </w:rPr>
        <w:footnoteRef/>
      </w:r>
      <w:r w:rsidRPr="00413148">
        <w:t xml:space="preserve"> </w:t>
      </w:r>
      <w:r w:rsidRPr="00413148">
        <w:rPr>
          <w:i/>
        </w:rPr>
        <w:t xml:space="preserve">See </w:t>
      </w:r>
      <w:r w:rsidR="00CD640F" w:rsidRPr="00413148">
        <w:rPr>
          <w:i/>
        </w:rPr>
        <w:t>supra</w:t>
      </w:r>
      <w:r w:rsidR="00CD640F" w:rsidRPr="00413148">
        <w:rPr>
          <w:iCs/>
        </w:rPr>
        <w:t xml:space="preserve"> note 85.</w:t>
      </w:r>
    </w:p>
  </w:footnote>
  <w:footnote w:id="139">
    <w:p w14:paraId="08014D31" w14:textId="1F0B3AB4" w:rsidR="001E2113" w:rsidRPr="00413148" w:rsidRDefault="001E2113" w:rsidP="00DF20CD">
      <w:pPr>
        <w:pStyle w:val="FootnoteText"/>
        <w:ind w:left="0"/>
      </w:pPr>
      <w:r w:rsidRPr="00413148">
        <w:rPr>
          <w:rStyle w:val="FootnoteReference"/>
        </w:rPr>
        <w:footnoteRef/>
      </w:r>
      <w:r w:rsidRPr="00413148">
        <w:t xml:space="preserve"> </w:t>
      </w:r>
      <w:r w:rsidRPr="00413148">
        <w:rPr>
          <w:i/>
          <w:iCs/>
        </w:rPr>
        <w:t>See</w:t>
      </w:r>
      <w:r w:rsidRPr="00413148">
        <w:t xml:space="preserve"> </w:t>
      </w:r>
      <w:r w:rsidR="002A72C5" w:rsidRPr="00413148">
        <w:rPr>
          <w:i/>
          <w:iCs/>
        </w:rPr>
        <w:t>supra</w:t>
      </w:r>
      <w:r w:rsidR="002A72C5" w:rsidRPr="00413148">
        <w:t xml:space="preserve"> </w:t>
      </w:r>
      <w:r w:rsidR="00ED7862" w:rsidRPr="00413148">
        <w:t xml:space="preserve">Part </w:t>
      </w:r>
      <w:r w:rsidR="00CE4602" w:rsidRPr="00413148">
        <w:t>I(D) for additional discussion of costs related to reasonable accommodations and the undue hardship analysis.</w:t>
      </w:r>
    </w:p>
  </w:footnote>
  <w:footnote w:id="140">
    <w:p w14:paraId="34FB1450" w14:textId="77777777" w:rsidR="00790BE1" w:rsidRPr="00413148" w:rsidRDefault="00790BE1" w:rsidP="00DF20CD">
      <w:pPr>
        <w:pStyle w:val="FootnoteText"/>
        <w:ind w:left="0"/>
      </w:pPr>
      <w:r w:rsidRPr="00413148">
        <w:rPr>
          <w:rStyle w:val="FootnoteReference"/>
        </w:rPr>
        <w:footnoteRef/>
      </w:r>
      <w:r w:rsidRPr="00413148">
        <w:t xml:space="preserve"> N.Y.C. Admin. Code § 8-107(15)(b).</w:t>
      </w:r>
    </w:p>
  </w:footnote>
  <w:footnote w:id="141">
    <w:p w14:paraId="1F470DCB" w14:textId="20D177D4" w:rsidR="00790BE1" w:rsidRPr="00413148" w:rsidRDefault="00790BE1" w:rsidP="00790BE1">
      <w:pPr>
        <w:spacing w:after="120" w:line="40" w:lineRule="atLeast"/>
        <w:rPr>
          <w:rFonts w:cs="Arial"/>
          <w:szCs w:val="32"/>
        </w:rPr>
      </w:pPr>
      <w:r w:rsidRPr="00413148">
        <w:rPr>
          <w:rStyle w:val="FootnoteReference"/>
          <w:rFonts w:cs="Arial"/>
          <w:szCs w:val="32"/>
        </w:rPr>
        <w:footnoteRef/>
      </w:r>
      <w:r w:rsidRPr="00413148">
        <w:rPr>
          <w:rFonts w:cs="Arial"/>
          <w:szCs w:val="32"/>
        </w:rPr>
        <w:t xml:space="preserve"> </w:t>
      </w:r>
      <w:r w:rsidRPr="00413148">
        <w:rPr>
          <w:rFonts w:cs="Arial"/>
          <w:i/>
          <w:szCs w:val="32"/>
        </w:rPr>
        <w:t>Phillips</w:t>
      </w:r>
      <w:r w:rsidRPr="00413148">
        <w:rPr>
          <w:rFonts w:cs="Arial"/>
          <w:iCs/>
          <w:szCs w:val="32"/>
        </w:rPr>
        <w:t>,</w:t>
      </w:r>
      <w:r w:rsidRPr="00413148">
        <w:rPr>
          <w:rFonts w:cs="Arial"/>
          <w:szCs w:val="32"/>
        </w:rPr>
        <w:t xml:space="preserve"> 66 A.D.3d </w:t>
      </w:r>
      <w:r w:rsidR="00A92F65" w:rsidRPr="00413148">
        <w:rPr>
          <w:rFonts w:cs="Arial"/>
          <w:szCs w:val="32"/>
        </w:rPr>
        <w:t>at</w:t>
      </w:r>
      <w:r w:rsidRPr="00413148">
        <w:rPr>
          <w:rFonts w:cs="Arial"/>
          <w:szCs w:val="32"/>
        </w:rPr>
        <w:t xml:space="preserve"> 183.</w:t>
      </w:r>
    </w:p>
  </w:footnote>
  <w:footnote w:id="142">
    <w:p w14:paraId="03E8D83A" w14:textId="4B2A9D70" w:rsidR="00790BE1" w:rsidRPr="00413148" w:rsidRDefault="00790BE1" w:rsidP="001F3C93">
      <w:pPr>
        <w:pStyle w:val="FootnoteText"/>
        <w:ind w:left="0"/>
      </w:pPr>
      <w:r w:rsidRPr="00413148">
        <w:rPr>
          <w:rStyle w:val="FootnoteReference"/>
        </w:rPr>
        <w:footnoteRef/>
      </w:r>
      <w:r w:rsidRPr="00413148">
        <w:t xml:space="preserve"> </w:t>
      </w:r>
      <w:r w:rsidRPr="00413148">
        <w:rPr>
          <w:i/>
        </w:rPr>
        <w:t xml:space="preserve">See </w:t>
      </w:r>
      <w:r w:rsidR="008D190E" w:rsidRPr="00413148">
        <w:rPr>
          <w:i/>
        </w:rPr>
        <w:t xml:space="preserve">supra </w:t>
      </w:r>
      <w:r w:rsidRPr="00413148">
        <w:t xml:space="preserve">Part </w:t>
      </w:r>
      <w:r w:rsidR="00BC7335" w:rsidRPr="00413148">
        <w:t>II</w:t>
      </w:r>
      <w:r w:rsidRPr="00413148">
        <w:t>(</w:t>
      </w:r>
      <w:r w:rsidR="00BC7335" w:rsidRPr="00413148">
        <w:t>A</w:t>
      </w:r>
      <w:r w:rsidRPr="00413148">
        <w:t>)</w:t>
      </w:r>
      <w:r w:rsidR="00BC7335" w:rsidRPr="00413148">
        <w:t>(</w:t>
      </w:r>
      <w:r w:rsidR="004717A6" w:rsidRPr="00413148">
        <w:t>iii</w:t>
      </w:r>
      <w:r w:rsidR="00BC7335" w:rsidRPr="00413148">
        <w:t>)(</w:t>
      </w:r>
      <w:r w:rsidR="004717A6" w:rsidRPr="00413148">
        <w:t>d</w:t>
      </w:r>
      <w:r w:rsidRPr="00413148">
        <w:t>) for a discussion on when an employer may offer an alternative position or unpaid leave as a reasonable accommodation.</w:t>
      </w:r>
    </w:p>
  </w:footnote>
  <w:footnote w:id="143">
    <w:p w14:paraId="16BBD462" w14:textId="77777777" w:rsidR="00790BE1" w:rsidRPr="00413148" w:rsidRDefault="00790BE1" w:rsidP="001F3C93">
      <w:pPr>
        <w:pStyle w:val="FootnoteText"/>
        <w:ind w:left="0"/>
      </w:pPr>
      <w:r w:rsidRPr="00413148">
        <w:rPr>
          <w:rStyle w:val="FootnoteReference"/>
        </w:rPr>
        <w:footnoteRef/>
      </w:r>
      <w:r w:rsidRPr="00413148">
        <w:t xml:space="preserve"> </w:t>
      </w:r>
      <w:r w:rsidRPr="00413148">
        <w:rPr>
          <w:i/>
        </w:rPr>
        <w:t>See</w:t>
      </w:r>
      <w:r w:rsidRPr="00413148">
        <w:rPr>
          <w:iCs/>
        </w:rPr>
        <w:t>,</w:t>
      </w:r>
      <w:r w:rsidRPr="00413148">
        <w:rPr>
          <w:i/>
        </w:rPr>
        <w:t xml:space="preserve"> e.g.</w:t>
      </w:r>
      <w:r w:rsidRPr="00413148">
        <w:rPr>
          <w:iCs/>
        </w:rPr>
        <w:t>,</w:t>
      </w:r>
      <w:r w:rsidRPr="00413148">
        <w:t xml:space="preserve"> 29 C.F.R. § 1630.2(n).</w:t>
      </w:r>
    </w:p>
  </w:footnote>
  <w:footnote w:id="144">
    <w:p w14:paraId="3ECF66A1" w14:textId="77777777" w:rsidR="00790BE1" w:rsidRPr="00413148" w:rsidRDefault="00790BE1" w:rsidP="001F3C93">
      <w:pPr>
        <w:pStyle w:val="FootnoteText"/>
        <w:ind w:left="0"/>
      </w:pPr>
      <w:r w:rsidRPr="00413148">
        <w:rPr>
          <w:rStyle w:val="FootnoteReference"/>
        </w:rPr>
        <w:footnoteRef/>
      </w:r>
      <w:r w:rsidRPr="00413148">
        <w:t xml:space="preserve"> </w:t>
      </w:r>
      <w:r w:rsidRPr="00413148">
        <w:rPr>
          <w:i/>
        </w:rPr>
        <w:t>McMillan v. City of N.Y.</w:t>
      </w:r>
      <w:r w:rsidRPr="00413148">
        <w:t>, 711 F.3d 120, 126 (2d Cir. 2013).</w:t>
      </w:r>
    </w:p>
  </w:footnote>
  <w:footnote w:id="145">
    <w:p w14:paraId="35A0FCB7" w14:textId="699CBF48" w:rsidR="00790BE1" w:rsidRPr="00413148" w:rsidRDefault="00790BE1" w:rsidP="001F3C93">
      <w:pPr>
        <w:pStyle w:val="FootnoteText"/>
        <w:ind w:left="0"/>
      </w:pPr>
      <w:r w:rsidRPr="00413148">
        <w:rPr>
          <w:rStyle w:val="FootnoteReference"/>
        </w:rPr>
        <w:footnoteRef/>
      </w:r>
      <w:r w:rsidRPr="00413148">
        <w:t xml:space="preserve"> N.Y.C. Admin. Code § 8-107(4).</w:t>
      </w:r>
      <w:r w:rsidR="009D2947" w:rsidRPr="00413148">
        <w:t xml:space="preserve"> </w:t>
      </w:r>
    </w:p>
  </w:footnote>
  <w:footnote w:id="146">
    <w:p w14:paraId="37D991C8" w14:textId="49B788B6" w:rsidR="00E77821" w:rsidRPr="00413148" w:rsidRDefault="00E77821" w:rsidP="001F3C93">
      <w:pPr>
        <w:pStyle w:val="FootnoteText"/>
        <w:ind w:left="0"/>
      </w:pPr>
      <w:r w:rsidRPr="00413148">
        <w:rPr>
          <w:rStyle w:val="FootnoteReference"/>
        </w:rPr>
        <w:footnoteRef/>
      </w:r>
      <w:r w:rsidRPr="00413148">
        <w:t xml:space="preserve"> </w:t>
      </w:r>
      <w:r w:rsidRPr="00413148">
        <w:rPr>
          <w:i/>
          <w:iCs/>
        </w:rPr>
        <w:t>See</w:t>
      </w:r>
      <w:r w:rsidRPr="00413148">
        <w:t xml:space="preserve"> </w:t>
      </w:r>
      <w:r w:rsidR="00263B1E" w:rsidRPr="00413148">
        <w:rPr>
          <w:i/>
          <w:iCs/>
        </w:rPr>
        <w:t>id.</w:t>
      </w:r>
      <w:r w:rsidRPr="00413148">
        <w:t xml:space="preserve"> § 8-102 for the NYCHRL definition of public accommodations</w:t>
      </w:r>
      <w:r w:rsidR="00263432" w:rsidRPr="00413148">
        <w:t xml:space="preserve"> and relevant exceptions.</w:t>
      </w:r>
    </w:p>
  </w:footnote>
  <w:footnote w:id="147">
    <w:p w14:paraId="7C0BC43B" w14:textId="727EECE9" w:rsidR="00790BE1" w:rsidRPr="00413148" w:rsidRDefault="00790BE1" w:rsidP="001F3C93">
      <w:pPr>
        <w:pStyle w:val="FootnoteText"/>
        <w:ind w:left="0"/>
      </w:pPr>
      <w:r w:rsidRPr="00413148">
        <w:rPr>
          <w:rStyle w:val="FootnoteReference"/>
        </w:rPr>
        <w:footnoteRef/>
      </w:r>
      <w:r w:rsidRPr="00413148">
        <w:t xml:space="preserve"> </w:t>
      </w:r>
      <w:r w:rsidR="005636BD" w:rsidRPr="00AC358B">
        <w:rPr>
          <w:i/>
          <w:iCs/>
        </w:rPr>
        <w:t>Id</w:t>
      </w:r>
      <w:r w:rsidR="005636BD" w:rsidRPr="00413148">
        <w:t>.</w:t>
      </w:r>
    </w:p>
  </w:footnote>
  <w:footnote w:id="148">
    <w:p w14:paraId="6A73FDC6" w14:textId="210486AF" w:rsidR="00F04705" w:rsidRPr="00413148" w:rsidRDefault="00F04705" w:rsidP="00166DFD">
      <w:pPr>
        <w:pStyle w:val="FootnoteText"/>
        <w:ind w:left="0"/>
      </w:pPr>
      <w:r w:rsidRPr="00413148">
        <w:rPr>
          <w:rStyle w:val="FootnoteReference"/>
        </w:rPr>
        <w:footnoteRef/>
      </w:r>
      <w:r w:rsidRPr="00413148">
        <w:t xml:space="preserve"> </w:t>
      </w:r>
      <w:r w:rsidR="00E85771" w:rsidRPr="00413148">
        <w:rPr>
          <w:i/>
          <w:iCs/>
        </w:rPr>
        <w:t>Id.</w:t>
      </w:r>
      <w:r w:rsidRPr="00413148">
        <w:t xml:space="preserve"> § 8-107(4)(a)(2).</w:t>
      </w:r>
    </w:p>
  </w:footnote>
  <w:footnote w:id="149">
    <w:p w14:paraId="7EDB75F5" w14:textId="45AFB5E0" w:rsidR="00F04705" w:rsidRPr="00413148" w:rsidRDefault="00F04705" w:rsidP="00166DFD">
      <w:pPr>
        <w:pStyle w:val="FootnoteText"/>
        <w:ind w:left="0"/>
      </w:pPr>
      <w:r w:rsidRPr="00413148">
        <w:rPr>
          <w:rStyle w:val="FootnoteReference"/>
        </w:rPr>
        <w:footnoteRef/>
      </w:r>
      <w:r w:rsidRPr="00413148">
        <w:t xml:space="preserve"> </w:t>
      </w:r>
      <w:r w:rsidR="00E85771" w:rsidRPr="00413148">
        <w:rPr>
          <w:i/>
          <w:iCs/>
        </w:rPr>
        <w:t>Id.</w:t>
      </w:r>
      <w:r w:rsidRPr="00413148">
        <w:t xml:space="preserve"> § 8-107(4)(a)(2)(a).</w:t>
      </w:r>
    </w:p>
  </w:footnote>
  <w:footnote w:id="150">
    <w:p w14:paraId="444940D3" w14:textId="00E1251A" w:rsidR="00F04705" w:rsidRPr="00413148" w:rsidRDefault="00F04705" w:rsidP="00166DFD">
      <w:pPr>
        <w:pStyle w:val="FootnoteText"/>
        <w:ind w:left="0"/>
      </w:pPr>
      <w:r w:rsidRPr="00413148">
        <w:rPr>
          <w:rStyle w:val="FootnoteReference"/>
        </w:rPr>
        <w:footnoteRef/>
      </w:r>
      <w:r w:rsidRPr="00413148">
        <w:t xml:space="preserve"> </w:t>
      </w:r>
      <w:r w:rsidR="00E85771" w:rsidRPr="00413148">
        <w:rPr>
          <w:i/>
          <w:iCs/>
        </w:rPr>
        <w:t>Id.</w:t>
      </w:r>
      <w:r w:rsidRPr="00413148">
        <w:t xml:space="preserve"> § 8-107(4)(a)(2)(b).</w:t>
      </w:r>
    </w:p>
  </w:footnote>
  <w:footnote w:id="151">
    <w:p w14:paraId="4948AC34" w14:textId="22A3855B" w:rsidR="00F04705" w:rsidRPr="00413148" w:rsidRDefault="00F04705" w:rsidP="00166DFD">
      <w:pPr>
        <w:pStyle w:val="FootnoteText"/>
        <w:ind w:left="0"/>
        <w:rPr>
          <w:i/>
        </w:rPr>
      </w:pPr>
      <w:r w:rsidRPr="00413148">
        <w:rPr>
          <w:rStyle w:val="FootnoteReference"/>
        </w:rPr>
        <w:footnoteRef/>
      </w:r>
      <w:r w:rsidRPr="00413148">
        <w:t xml:space="preserve"> </w:t>
      </w:r>
      <w:r w:rsidR="00E85771" w:rsidRPr="00413148">
        <w:rPr>
          <w:i/>
          <w:iCs/>
        </w:rPr>
        <w:t>See supra</w:t>
      </w:r>
      <w:r w:rsidR="00E85771" w:rsidRPr="00413148">
        <w:t xml:space="preserve"> note 147</w:t>
      </w:r>
      <w:r w:rsidRPr="00413148">
        <w:t>.</w:t>
      </w:r>
      <w:r w:rsidR="00DC4786" w:rsidRPr="00413148">
        <w:t xml:space="preserve">  </w:t>
      </w:r>
      <w:r w:rsidR="00A1112A" w:rsidRPr="00413148">
        <w:t xml:space="preserve">  </w:t>
      </w:r>
    </w:p>
  </w:footnote>
  <w:footnote w:id="152">
    <w:p w14:paraId="040320A9" w14:textId="682632C6" w:rsidR="007A2235" w:rsidRPr="00413148" w:rsidRDefault="00796966" w:rsidP="00166DFD">
      <w:pPr>
        <w:pStyle w:val="FootnoteText"/>
        <w:ind w:left="0"/>
      </w:pPr>
      <w:r w:rsidRPr="00413148">
        <w:rPr>
          <w:rStyle w:val="FootnoteReference"/>
        </w:rPr>
        <w:footnoteRef/>
      </w:r>
      <w:r w:rsidRPr="00413148">
        <w:t xml:space="preserve"> </w:t>
      </w:r>
      <w:r w:rsidR="007A2235" w:rsidRPr="00413148">
        <w:t xml:space="preserve">The Human Rights Law permits height and weight specifications or distinctions when such action is either required by law or </w:t>
      </w:r>
      <w:proofErr w:type="gramStart"/>
      <w:r w:rsidR="007A2235" w:rsidRPr="00413148">
        <w:t>regulation</w:t>
      </w:r>
      <w:r w:rsidR="00322540" w:rsidRPr="00413148">
        <w:t>,</w:t>
      </w:r>
      <w:r w:rsidR="007A2235" w:rsidRPr="00413148">
        <w:t xml:space="preserve"> or</w:t>
      </w:r>
      <w:proofErr w:type="gramEnd"/>
      <w:r w:rsidR="007A2235" w:rsidRPr="00413148">
        <w:t xml:space="preserve"> permitted by regulation adopted by the Commission on Human Rights </w:t>
      </w:r>
      <w:r w:rsidR="000A13BF" w:rsidRPr="00413148">
        <w:t xml:space="preserve">because </w:t>
      </w:r>
      <w:r w:rsidR="007A2235" w:rsidRPr="00413148">
        <w:t>they</w:t>
      </w:r>
      <w:r w:rsidR="005E5A9A" w:rsidRPr="00413148">
        <w:t xml:space="preserve"> are</w:t>
      </w:r>
      <w:r w:rsidR="007A2235" w:rsidRPr="00413148">
        <w:t xml:space="preserve"> </w:t>
      </w:r>
      <w:r w:rsidR="005E5A9A" w:rsidRPr="00413148">
        <w:t>reasonably necessary</w:t>
      </w:r>
      <w:r w:rsidR="007A2235" w:rsidRPr="00413148">
        <w:t xml:space="preserve"> to allow for normal operations. </w:t>
      </w:r>
      <w:r w:rsidR="007A2235" w:rsidRPr="00413148">
        <w:rPr>
          <w:i/>
          <w:iCs/>
        </w:rPr>
        <w:t xml:space="preserve">See </w:t>
      </w:r>
      <w:r w:rsidR="007A2235" w:rsidRPr="00413148">
        <w:t xml:space="preserve">N.Y.C. Admin. Code </w:t>
      </w:r>
      <w:r w:rsidR="008D2EF6" w:rsidRPr="00413148">
        <w:t>§</w:t>
      </w:r>
      <w:r w:rsidR="007A2235" w:rsidRPr="00413148">
        <w:t>§ 8-107(4)(g)</w:t>
      </w:r>
      <w:r w:rsidR="008D2EF6" w:rsidRPr="00413148">
        <w:t xml:space="preserve">, </w:t>
      </w:r>
      <w:r w:rsidR="006E18E7" w:rsidRPr="00413148">
        <w:t>(4)(a)(1)</w:t>
      </w:r>
      <w:r w:rsidR="007A2235" w:rsidRPr="00413148">
        <w:t>.</w:t>
      </w:r>
    </w:p>
  </w:footnote>
  <w:footnote w:id="153">
    <w:p w14:paraId="070897BD" w14:textId="03ED6D09" w:rsidR="007A2235" w:rsidRPr="00413148" w:rsidRDefault="007A2235" w:rsidP="00166DFD">
      <w:pPr>
        <w:pStyle w:val="FootnoteText"/>
        <w:ind w:left="0"/>
      </w:pPr>
      <w:r w:rsidRPr="00413148">
        <w:rPr>
          <w:rStyle w:val="FootnoteReference"/>
        </w:rPr>
        <w:footnoteRef/>
      </w:r>
      <w:r w:rsidRPr="00413148">
        <w:t xml:space="preserve"> </w:t>
      </w:r>
      <w:r w:rsidR="00F77545" w:rsidRPr="00413148">
        <w:rPr>
          <w:i/>
          <w:iCs/>
        </w:rPr>
        <w:t>Id.</w:t>
      </w:r>
      <w:r w:rsidR="006E18E7" w:rsidRPr="00413148">
        <w:t xml:space="preserve"> § 8-107(4)(a)(1)</w:t>
      </w:r>
      <w:r w:rsidRPr="00413148">
        <w:t>.</w:t>
      </w:r>
    </w:p>
  </w:footnote>
  <w:footnote w:id="154">
    <w:p w14:paraId="6FB1E4CE" w14:textId="15C3A368" w:rsidR="007A2235" w:rsidRPr="00413148" w:rsidRDefault="007A2235" w:rsidP="00166DFD">
      <w:pPr>
        <w:pStyle w:val="FootnoteText"/>
        <w:ind w:left="0"/>
      </w:pPr>
      <w:r w:rsidRPr="00413148">
        <w:rPr>
          <w:rStyle w:val="FootnoteReference"/>
        </w:rPr>
        <w:footnoteRef/>
      </w:r>
      <w:r w:rsidRPr="00413148">
        <w:t xml:space="preserve"> </w:t>
      </w:r>
      <w:r w:rsidRPr="00143ACE">
        <w:rPr>
          <w:i/>
          <w:iCs/>
        </w:rPr>
        <w:t>Id</w:t>
      </w:r>
      <w:r w:rsidR="00F77545" w:rsidRPr="00413148">
        <w:t>.</w:t>
      </w:r>
      <w:r w:rsidR="0051541C" w:rsidRPr="00413148">
        <w:t xml:space="preserve"> </w:t>
      </w:r>
      <w:r w:rsidR="00F77545" w:rsidRPr="00143ACE">
        <w:rPr>
          <w:i/>
          <w:iCs/>
        </w:rPr>
        <w:t>S</w:t>
      </w:r>
      <w:r w:rsidR="0051541C" w:rsidRPr="00143ACE">
        <w:rPr>
          <w:i/>
          <w:iCs/>
        </w:rPr>
        <w:t>ee</w:t>
      </w:r>
      <w:r w:rsidR="00F77545" w:rsidRPr="00143ACE">
        <w:rPr>
          <w:i/>
          <w:iCs/>
        </w:rPr>
        <w:t xml:space="preserve"> also</w:t>
      </w:r>
      <w:r w:rsidR="0051541C" w:rsidRPr="00143ACE">
        <w:rPr>
          <w:i/>
          <w:iCs/>
        </w:rPr>
        <w:t xml:space="preserve"> </w:t>
      </w:r>
      <w:r w:rsidR="00F77545" w:rsidRPr="00143ACE">
        <w:rPr>
          <w:i/>
          <w:iCs/>
        </w:rPr>
        <w:t>id</w:t>
      </w:r>
      <w:r w:rsidR="00F77545" w:rsidRPr="00413148">
        <w:t xml:space="preserve">. </w:t>
      </w:r>
      <w:r w:rsidR="0051541C" w:rsidRPr="00413148">
        <w:t>§ 8-107(15)</w:t>
      </w:r>
      <w:r w:rsidRPr="00413148">
        <w:t>.</w:t>
      </w:r>
    </w:p>
  </w:footnote>
  <w:footnote w:id="155">
    <w:p w14:paraId="16A3A70D" w14:textId="63D9FE64" w:rsidR="000F2F48" w:rsidRPr="00413148" w:rsidRDefault="000F2F48" w:rsidP="00166DFD">
      <w:pPr>
        <w:pStyle w:val="FootnoteText"/>
        <w:ind w:left="0"/>
      </w:pPr>
      <w:r w:rsidRPr="00413148">
        <w:rPr>
          <w:rStyle w:val="FootnoteReference"/>
        </w:rPr>
        <w:footnoteRef/>
      </w:r>
      <w:r w:rsidR="000713D1" w:rsidRPr="00413148">
        <w:t xml:space="preserve"> </w:t>
      </w:r>
      <w:r w:rsidR="00631CC3" w:rsidRPr="00413148">
        <w:rPr>
          <w:i/>
          <w:iCs/>
        </w:rPr>
        <w:t>Id.</w:t>
      </w:r>
      <w:r w:rsidR="000713D1" w:rsidRPr="00413148">
        <w:t xml:space="preserve"> §§ 8-107(4)</w:t>
      </w:r>
      <w:r w:rsidR="00C12C0B" w:rsidRPr="00413148">
        <w:t>(a)(1)(a)</w:t>
      </w:r>
      <w:r w:rsidR="00631CC3" w:rsidRPr="00413148">
        <w:t xml:space="preserve">, </w:t>
      </w:r>
      <w:r w:rsidR="009005F8" w:rsidRPr="00413148">
        <w:t>(15)</w:t>
      </w:r>
      <w:r w:rsidR="003F1B59" w:rsidRPr="00413148">
        <w:t>(a</w:t>
      </w:r>
      <w:r w:rsidR="009005F8" w:rsidRPr="00413148">
        <w:t>).</w:t>
      </w:r>
    </w:p>
  </w:footnote>
  <w:footnote w:id="156">
    <w:p w14:paraId="1F4C6D13" w14:textId="0D52E863" w:rsidR="00BA5F44" w:rsidRPr="00413148" w:rsidRDefault="00BA5F44" w:rsidP="00166DFD">
      <w:pPr>
        <w:pStyle w:val="FootnoteText"/>
        <w:ind w:left="0"/>
      </w:pPr>
      <w:r w:rsidRPr="00413148">
        <w:rPr>
          <w:rStyle w:val="FootnoteReference"/>
        </w:rPr>
        <w:footnoteRef/>
      </w:r>
      <w:r w:rsidRPr="00413148">
        <w:t xml:space="preserve"> </w:t>
      </w:r>
      <w:r w:rsidRPr="00413148">
        <w:rPr>
          <w:i/>
        </w:rPr>
        <w:t>See</w:t>
      </w:r>
      <w:r w:rsidR="00ED73D6" w:rsidRPr="00413148">
        <w:rPr>
          <w:i/>
        </w:rPr>
        <w:t xml:space="preserve"> supra </w:t>
      </w:r>
      <w:r w:rsidR="00ED73D6" w:rsidRPr="00413148">
        <w:t xml:space="preserve">note </w:t>
      </w:r>
      <w:r w:rsidR="00147AC9" w:rsidRPr="00413148">
        <w:t>6</w:t>
      </w:r>
      <w:r w:rsidR="008A756C" w:rsidRPr="00413148">
        <w:t>6</w:t>
      </w:r>
      <w:r w:rsidR="00ED73D6" w:rsidRPr="00413148">
        <w:t>.</w:t>
      </w:r>
    </w:p>
  </w:footnote>
  <w:footnote w:id="157">
    <w:p w14:paraId="52013317" w14:textId="2123C1B1" w:rsidR="000A2A57" w:rsidRPr="00413148" w:rsidRDefault="000A2A57" w:rsidP="00C32779">
      <w:pPr>
        <w:pStyle w:val="FootnoteText"/>
        <w:ind w:left="0"/>
      </w:pPr>
      <w:r w:rsidRPr="00413148">
        <w:rPr>
          <w:rStyle w:val="FootnoteReference"/>
        </w:rPr>
        <w:footnoteRef/>
      </w:r>
      <w:r w:rsidRPr="00413148">
        <w:t xml:space="preserve"> </w:t>
      </w:r>
      <w:r w:rsidRPr="00413148">
        <w:rPr>
          <w:i/>
        </w:rPr>
        <w:t>See</w:t>
      </w:r>
      <w:r w:rsidR="00ED73D6" w:rsidRPr="00413148">
        <w:rPr>
          <w:i/>
        </w:rPr>
        <w:t xml:space="preserve"> supra</w:t>
      </w:r>
      <w:r w:rsidR="00ED73D6" w:rsidRPr="00413148">
        <w:rPr>
          <w:iCs/>
        </w:rPr>
        <w:t xml:space="preserve"> note 1</w:t>
      </w:r>
      <w:r w:rsidR="00FD396A" w:rsidRPr="00413148">
        <w:rPr>
          <w:iCs/>
        </w:rPr>
        <w:t>23</w:t>
      </w:r>
      <w:r w:rsidR="00026F54" w:rsidRPr="00413148">
        <w:rPr>
          <w:iCs/>
        </w:rPr>
        <w:t xml:space="preserve"> and</w:t>
      </w:r>
      <w:r w:rsidRPr="00413148">
        <w:t xml:space="preserve"> Part I(D)(ii</w:t>
      </w:r>
      <w:r w:rsidRPr="00413148" w:rsidDel="00813BFD">
        <w:t>)</w:t>
      </w:r>
      <w:r w:rsidRPr="00413148">
        <w:t xml:space="preserve"> for a discussion on cooperative dialogue. </w:t>
      </w:r>
    </w:p>
  </w:footnote>
  <w:footnote w:id="158">
    <w:p w14:paraId="1311D43F" w14:textId="1DBA4348" w:rsidR="000A2A57" w:rsidRPr="00413148" w:rsidRDefault="000A2A57" w:rsidP="00C32779">
      <w:pPr>
        <w:pStyle w:val="FootnoteText"/>
        <w:ind w:left="0"/>
      </w:pPr>
      <w:r w:rsidRPr="00413148">
        <w:rPr>
          <w:rStyle w:val="FootnoteReference"/>
        </w:rPr>
        <w:footnoteRef/>
      </w:r>
      <w:r w:rsidRPr="00413148">
        <w:t xml:space="preserve"> </w:t>
      </w:r>
      <w:r w:rsidR="00026F54" w:rsidRPr="00413148">
        <w:rPr>
          <w:i/>
          <w:iCs/>
        </w:rPr>
        <w:t xml:space="preserve">See supra </w:t>
      </w:r>
      <w:r w:rsidR="00026F54" w:rsidRPr="00413148">
        <w:t xml:space="preserve">note </w:t>
      </w:r>
      <w:r w:rsidR="00F43270" w:rsidRPr="00413148">
        <w:t>1</w:t>
      </w:r>
      <w:r w:rsidR="00A160F8" w:rsidRPr="00413148">
        <w:t>2</w:t>
      </w:r>
      <w:r w:rsidR="00FD396A" w:rsidRPr="00413148">
        <w:t>4</w:t>
      </w:r>
      <w:r w:rsidR="00F43270" w:rsidRPr="00413148">
        <w:t>.</w:t>
      </w:r>
    </w:p>
  </w:footnote>
  <w:footnote w:id="159">
    <w:p w14:paraId="2E083507" w14:textId="49201DDE" w:rsidR="000A2A57" w:rsidRPr="00413148" w:rsidRDefault="000A2A57" w:rsidP="000A2A57">
      <w:pPr>
        <w:spacing w:after="120" w:line="40" w:lineRule="atLeast"/>
      </w:pPr>
      <w:r w:rsidRPr="00413148">
        <w:rPr>
          <w:rStyle w:val="FootnoteReference"/>
          <w:rFonts w:cs="Arial"/>
          <w:szCs w:val="32"/>
        </w:rPr>
        <w:footnoteRef/>
      </w:r>
      <w:r w:rsidRPr="00413148">
        <w:t xml:space="preserve"> </w:t>
      </w:r>
      <w:r w:rsidRPr="00413148">
        <w:rPr>
          <w:i/>
        </w:rPr>
        <w:t>See</w:t>
      </w:r>
      <w:r w:rsidR="00F43270" w:rsidRPr="00413148">
        <w:rPr>
          <w:i/>
        </w:rPr>
        <w:t xml:space="preserve"> supra</w:t>
      </w:r>
      <w:r w:rsidR="00F43270" w:rsidRPr="00413148">
        <w:rPr>
          <w:iCs/>
        </w:rPr>
        <w:t xml:space="preserve"> note </w:t>
      </w:r>
      <w:r w:rsidR="00F43270" w:rsidRPr="00413148">
        <w:rPr>
          <w:rFonts w:cs="Arial"/>
          <w:iCs/>
          <w:szCs w:val="32"/>
        </w:rPr>
        <w:t>1</w:t>
      </w:r>
      <w:r w:rsidR="00A160F8" w:rsidRPr="00413148">
        <w:rPr>
          <w:rFonts w:cs="Arial"/>
          <w:iCs/>
          <w:szCs w:val="32"/>
        </w:rPr>
        <w:t>2</w:t>
      </w:r>
      <w:r w:rsidR="00FD396A" w:rsidRPr="00413148">
        <w:rPr>
          <w:rFonts w:cs="Arial"/>
          <w:iCs/>
          <w:szCs w:val="32"/>
        </w:rPr>
        <w:t>5</w:t>
      </w:r>
      <w:r w:rsidR="00F43270" w:rsidRPr="00413148">
        <w:rPr>
          <w:iCs/>
        </w:rPr>
        <w:t xml:space="preserve"> and </w:t>
      </w:r>
      <w:r w:rsidRPr="00413148">
        <w:t>Part I(D)(ii)</w:t>
      </w:r>
      <w:r w:rsidR="00F43270" w:rsidRPr="00413148">
        <w:t>.</w:t>
      </w:r>
    </w:p>
  </w:footnote>
  <w:footnote w:id="160">
    <w:p w14:paraId="0BE7139B" w14:textId="77777777" w:rsidR="000D24BC" w:rsidRPr="00413148" w:rsidRDefault="000D24BC" w:rsidP="00C32779">
      <w:pPr>
        <w:pStyle w:val="FootnoteText"/>
        <w:ind w:left="0"/>
      </w:pPr>
      <w:r w:rsidRPr="00413148">
        <w:rPr>
          <w:rStyle w:val="FootnoteReference"/>
        </w:rPr>
        <w:footnoteRef/>
      </w:r>
      <w:r w:rsidRPr="00413148">
        <w:t xml:space="preserve"> U.S. </w:t>
      </w:r>
      <w:proofErr w:type="spellStart"/>
      <w:r w:rsidRPr="00413148">
        <w:t>Dep’t</w:t>
      </w:r>
      <w:proofErr w:type="spellEnd"/>
      <w:r w:rsidRPr="00413148">
        <w:t xml:space="preserve"> of Justice, Civil Rights Div., Disability Rights Section, ADA Requirements: Service Animals (February 28, 2020), </w:t>
      </w:r>
      <w:r w:rsidR="00D009E7" w:rsidRPr="00413148">
        <w:rPr>
          <w:rFonts w:eastAsiaTheme="majorEastAsia"/>
        </w:rPr>
        <w:t>https://www.ada.gov/resources/service-animals-2010-requirements/</w:t>
      </w:r>
      <w:r w:rsidRPr="00413148">
        <w:t>.</w:t>
      </w:r>
    </w:p>
  </w:footnote>
  <w:footnote w:id="161">
    <w:p w14:paraId="3AE7CE6B" w14:textId="77777777" w:rsidR="000D24BC" w:rsidRPr="00413148" w:rsidRDefault="000D24BC" w:rsidP="00C32779">
      <w:pPr>
        <w:pStyle w:val="FootnoteText"/>
        <w:ind w:left="0"/>
      </w:pPr>
      <w:r w:rsidRPr="00413148">
        <w:rPr>
          <w:rStyle w:val="FootnoteReference"/>
        </w:rPr>
        <w:footnoteRef/>
      </w:r>
      <w:r w:rsidRPr="00413148">
        <w:t xml:space="preserve"> </w:t>
      </w:r>
      <w:r w:rsidRPr="00763BB5">
        <w:rPr>
          <w:i/>
          <w:iCs/>
        </w:rPr>
        <w:t xml:space="preserve">See </w:t>
      </w:r>
      <w:r w:rsidR="4665F392" w:rsidRPr="00763BB5">
        <w:rPr>
          <w:i/>
          <w:iCs/>
        </w:rPr>
        <w:t>i</w:t>
      </w:r>
      <w:r w:rsidRPr="00763BB5">
        <w:rPr>
          <w:i/>
          <w:iCs/>
        </w:rPr>
        <w:t>d</w:t>
      </w:r>
      <w:r w:rsidRPr="00413148">
        <w:t>.</w:t>
      </w:r>
    </w:p>
  </w:footnote>
  <w:footnote w:id="162">
    <w:p w14:paraId="69E69FAF" w14:textId="77777777" w:rsidR="000D24BC" w:rsidRPr="00413148" w:rsidRDefault="000D24BC" w:rsidP="00C32779">
      <w:pPr>
        <w:pStyle w:val="FootnoteText"/>
        <w:ind w:left="0"/>
      </w:pPr>
      <w:r w:rsidRPr="00413148">
        <w:rPr>
          <w:rStyle w:val="FootnoteReference"/>
        </w:rPr>
        <w:footnoteRef/>
      </w:r>
      <w:r w:rsidRPr="00413148">
        <w:t xml:space="preserve"> </w:t>
      </w:r>
      <w:r w:rsidRPr="00763BB5">
        <w:rPr>
          <w:i/>
          <w:iCs/>
        </w:rPr>
        <w:t xml:space="preserve">See </w:t>
      </w:r>
      <w:r w:rsidR="4665F392" w:rsidRPr="00763BB5">
        <w:rPr>
          <w:i/>
          <w:iCs/>
        </w:rPr>
        <w:t>i</w:t>
      </w:r>
      <w:r w:rsidRPr="00763BB5">
        <w:rPr>
          <w:i/>
          <w:iCs/>
        </w:rPr>
        <w:t>d</w:t>
      </w:r>
      <w:r w:rsidRPr="00413148">
        <w:t>.</w:t>
      </w:r>
    </w:p>
  </w:footnote>
  <w:footnote w:id="163">
    <w:p w14:paraId="4F88DAFC" w14:textId="77777777" w:rsidR="000D24BC" w:rsidRPr="00413148" w:rsidRDefault="000D24BC" w:rsidP="00C32779">
      <w:pPr>
        <w:pStyle w:val="FootnoteText"/>
        <w:ind w:left="0"/>
      </w:pPr>
      <w:r w:rsidRPr="00413148">
        <w:rPr>
          <w:rStyle w:val="FootnoteReference"/>
        </w:rPr>
        <w:footnoteRef/>
      </w:r>
      <w:r w:rsidRPr="00413148">
        <w:t xml:space="preserve"> N.Y.C. Admin. Code § 8-107(15)(a).</w:t>
      </w:r>
    </w:p>
  </w:footnote>
  <w:footnote w:id="164">
    <w:p w14:paraId="5045CA4A" w14:textId="07E5D09B" w:rsidR="005B4326" w:rsidRPr="00413148" w:rsidRDefault="005B4326" w:rsidP="00E3500A">
      <w:pPr>
        <w:pStyle w:val="FootnoteText"/>
        <w:ind w:left="0"/>
      </w:pPr>
      <w:r w:rsidRPr="00413148">
        <w:rPr>
          <w:rStyle w:val="FootnoteReference"/>
        </w:rPr>
        <w:footnoteRef/>
      </w:r>
      <w:r w:rsidRPr="00413148">
        <w:t xml:space="preserve"> </w:t>
      </w:r>
      <w:r w:rsidR="00AC5682" w:rsidRPr="00413148">
        <w:rPr>
          <w:i/>
          <w:iCs/>
        </w:rPr>
        <w:t>See supra</w:t>
      </w:r>
      <w:r w:rsidR="00AC5682" w:rsidRPr="00413148">
        <w:t xml:space="preserve"> note 95</w:t>
      </w:r>
      <w:r w:rsidRPr="00413148">
        <w:t>.</w:t>
      </w:r>
    </w:p>
  </w:footnote>
  <w:footnote w:id="165">
    <w:p w14:paraId="206E636F" w14:textId="7F95E887" w:rsidR="005B4326" w:rsidRPr="00413148" w:rsidRDefault="005B4326" w:rsidP="00E3500A">
      <w:pPr>
        <w:pStyle w:val="FootnoteText"/>
        <w:ind w:left="0"/>
      </w:pPr>
      <w:r w:rsidRPr="00413148">
        <w:rPr>
          <w:rStyle w:val="FootnoteReference"/>
        </w:rPr>
        <w:footnoteRef/>
      </w:r>
      <w:r w:rsidRPr="00413148">
        <w:t xml:space="preserve"> </w:t>
      </w:r>
      <w:r w:rsidRPr="00413148">
        <w:rPr>
          <w:i/>
        </w:rPr>
        <w:t xml:space="preserve">See </w:t>
      </w:r>
      <w:r w:rsidR="000B2872" w:rsidRPr="00413148">
        <w:rPr>
          <w:i/>
        </w:rPr>
        <w:t xml:space="preserve">supra </w:t>
      </w:r>
      <w:r w:rsidR="000B2872" w:rsidRPr="00413148">
        <w:rPr>
          <w:iCs/>
        </w:rPr>
        <w:t>note 97</w:t>
      </w:r>
      <w:r w:rsidRPr="00413148">
        <w:t>.</w:t>
      </w:r>
    </w:p>
  </w:footnote>
  <w:footnote w:id="166">
    <w:p w14:paraId="45E9580A" w14:textId="4549BB6D" w:rsidR="005B4326" w:rsidRPr="00413148" w:rsidRDefault="005B4326" w:rsidP="005B4326">
      <w:pPr>
        <w:spacing w:after="120" w:line="40" w:lineRule="atLeast"/>
      </w:pPr>
      <w:r w:rsidRPr="00413148">
        <w:rPr>
          <w:rStyle w:val="FootnoteReference"/>
          <w:rFonts w:cs="Arial"/>
          <w:szCs w:val="32"/>
        </w:rPr>
        <w:footnoteRef/>
      </w:r>
      <w:r w:rsidRPr="00413148">
        <w:t xml:space="preserve"> </w:t>
      </w:r>
      <w:r w:rsidR="000B2872" w:rsidRPr="00413148">
        <w:rPr>
          <w:i/>
        </w:rPr>
        <w:t>See supra</w:t>
      </w:r>
      <w:r w:rsidR="000B2872" w:rsidRPr="00413148">
        <w:rPr>
          <w:iCs/>
        </w:rPr>
        <w:t xml:space="preserve"> note 98</w:t>
      </w:r>
      <w:r w:rsidRPr="00413148">
        <w:t>.</w:t>
      </w:r>
    </w:p>
  </w:footnote>
  <w:footnote w:id="167">
    <w:p w14:paraId="23E352BF" w14:textId="77777777" w:rsidR="00C32E16" w:rsidRPr="00413148" w:rsidRDefault="00C32E16" w:rsidP="00E3500A">
      <w:pPr>
        <w:pStyle w:val="FootnoteText"/>
        <w:ind w:left="0"/>
      </w:pPr>
      <w:r w:rsidRPr="00413148">
        <w:rPr>
          <w:rStyle w:val="FootnoteReference"/>
        </w:rPr>
        <w:footnoteRef/>
      </w:r>
      <w:r w:rsidRPr="00413148">
        <w:t xml:space="preserve"> N.Y.C. Admin. Code § 8-102.</w:t>
      </w:r>
    </w:p>
  </w:footnote>
  <w:footnote w:id="168">
    <w:p w14:paraId="62EA3E6E" w14:textId="76611BF7" w:rsidR="005B4326" w:rsidRPr="00413148" w:rsidRDefault="005B4326" w:rsidP="00C32779">
      <w:pPr>
        <w:pStyle w:val="FootnoteText"/>
        <w:ind w:left="0"/>
      </w:pPr>
      <w:r w:rsidRPr="00413148">
        <w:rPr>
          <w:rStyle w:val="FootnoteReference"/>
        </w:rPr>
        <w:footnoteRef/>
      </w:r>
      <w:r w:rsidRPr="00413148">
        <w:t xml:space="preserve"> </w:t>
      </w:r>
      <w:r w:rsidR="00765778" w:rsidRPr="00413148">
        <w:rPr>
          <w:i/>
          <w:iCs/>
        </w:rPr>
        <w:t>Id.</w:t>
      </w:r>
      <w:r w:rsidRPr="00413148">
        <w:t xml:space="preserve"> § 8-107(5)(a)(1).</w:t>
      </w:r>
    </w:p>
  </w:footnote>
  <w:footnote w:id="169">
    <w:p w14:paraId="4F69E205" w14:textId="067AB6EA" w:rsidR="005B4326" w:rsidRPr="00413148" w:rsidRDefault="005B4326" w:rsidP="00C32779">
      <w:pPr>
        <w:pStyle w:val="FootnoteText"/>
        <w:ind w:left="0"/>
      </w:pPr>
      <w:r w:rsidRPr="00413148">
        <w:rPr>
          <w:rStyle w:val="FootnoteReference"/>
        </w:rPr>
        <w:footnoteRef/>
      </w:r>
      <w:r w:rsidRPr="00413148">
        <w:t xml:space="preserve"> </w:t>
      </w:r>
      <w:r w:rsidR="00765778" w:rsidRPr="00413148">
        <w:rPr>
          <w:i/>
          <w:iCs/>
        </w:rPr>
        <w:t>Id.</w:t>
      </w:r>
      <w:r w:rsidRPr="00413148">
        <w:t xml:space="preserve"> § 8-107(5)(a)(1)(b).</w:t>
      </w:r>
    </w:p>
  </w:footnote>
  <w:footnote w:id="170">
    <w:p w14:paraId="2C10AE69" w14:textId="2CC7DCF1" w:rsidR="00936AD6" w:rsidRPr="00413148" w:rsidRDefault="00936AD6" w:rsidP="00C32779">
      <w:pPr>
        <w:pStyle w:val="FootnoteText"/>
        <w:ind w:left="0"/>
      </w:pPr>
      <w:r w:rsidRPr="00413148">
        <w:rPr>
          <w:rStyle w:val="FootnoteReference"/>
        </w:rPr>
        <w:footnoteRef/>
      </w:r>
      <w:r w:rsidRPr="00413148">
        <w:t xml:space="preserve"> </w:t>
      </w:r>
      <w:r w:rsidR="0049052B" w:rsidRPr="00413148">
        <w:rPr>
          <w:i/>
          <w:iCs/>
        </w:rPr>
        <w:t>Id.</w:t>
      </w:r>
      <w:r w:rsidRPr="00413148">
        <w:t xml:space="preserve"> § 8-107(5).</w:t>
      </w:r>
    </w:p>
  </w:footnote>
  <w:footnote w:id="171">
    <w:p w14:paraId="16FFCEC2" w14:textId="77777777" w:rsidR="00936AD6" w:rsidRPr="00413148" w:rsidRDefault="00936AD6" w:rsidP="00C32779">
      <w:pPr>
        <w:pStyle w:val="FootnoteText"/>
        <w:ind w:left="0"/>
      </w:pPr>
      <w:r w:rsidRPr="00413148">
        <w:rPr>
          <w:rStyle w:val="FootnoteReference"/>
        </w:rPr>
        <w:footnoteRef/>
      </w:r>
      <w:r w:rsidRPr="00413148">
        <w:t xml:space="preserve"> </w:t>
      </w:r>
      <w:r w:rsidRPr="00002161">
        <w:rPr>
          <w:i/>
          <w:iCs/>
        </w:rPr>
        <w:t>Id</w:t>
      </w:r>
      <w:r w:rsidRPr="00413148">
        <w:rPr>
          <w:iCs/>
        </w:rPr>
        <w:t>.</w:t>
      </w:r>
    </w:p>
  </w:footnote>
  <w:footnote w:id="172">
    <w:p w14:paraId="6EABAF6E" w14:textId="06002AD0" w:rsidR="00936AD6" w:rsidRPr="00413148" w:rsidRDefault="00936AD6" w:rsidP="00C32779">
      <w:pPr>
        <w:pStyle w:val="FootnoteText"/>
        <w:ind w:left="0"/>
      </w:pPr>
      <w:r w:rsidRPr="00413148">
        <w:rPr>
          <w:rStyle w:val="FootnoteReference"/>
        </w:rPr>
        <w:footnoteRef/>
      </w:r>
      <w:r w:rsidRPr="00413148">
        <w:t xml:space="preserve"> </w:t>
      </w:r>
      <w:r w:rsidR="0049052B" w:rsidRPr="00413148">
        <w:rPr>
          <w:i/>
          <w:iCs/>
        </w:rPr>
        <w:t>Id.</w:t>
      </w:r>
      <w:r w:rsidRPr="00413148">
        <w:t xml:space="preserve"> § 8-102.</w:t>
      </w:r>
    </w:p>
  </w:footnote>
  <w:footnote w:id="173">
    <w:p w14:paraId="4B760FB0" w14:textId="4F772CF4" w:rsidR="007A5D86" w:rsidRPr="00413148" w:rsidRDefault="007A5D86" w:rsidP="00C32779">
      <w:pPr>
        <w:pStyle w:val="FootnoteText"/>
        <w:ind w:left="0"/>
      </w:pPr>
      <w:r w:rsidRPr="00413148">
        <w:rPr>
          <w:rStyle w:val="FootnoteReference"/>
        </w:rPr>
        <w:footnoteRef/>
      </w:r>
      <w:r w:rsidRPr="00413148">
        <w:t xml:space="preserve"> </w:t>
      </w:r>
      <w:r w:rsidR="0049052B" w:rsidRPr="00413148">
        <w:rPr>
          <w:i/>
          <w:iCs/>
        </w:rPr>
        <w:t>Id.</w:t>
      </w:r>
      <w:r w:rsidRPr="00413148">
        <w:t xml:space="preserve"> § 8-107(5)(a)(4).</w:t>
      </w:r>
    </w:p>
  </w:footnote>
  <w:footnote w:id="174">
    <w:p w14:paraId="0B44AF2E" w14:textId="2A0459BE" w:rsidR="007A5D86" w:rsidRPr="00413148" w:rsidRDefault="007A5D86" w:rsidP="00C32779">
      <w:pPr>
        <w:pStyle w:val="FootnoteText"/>
        <w:ind w:left="0"/>
      </w:pPr>
      <w:r w:rsidRPr="00413148">
        <w:rPr>
          <w:rStyle w:val="FootnoteReference"/>
        </w:rPr>
        <w:footnoteRef/>
      </w:r>
      <w:r w:rsidRPr="00002161">
        <w:rPr>
          <w:i/>
          <w:iCs/>
        </w:rPr>
        <w:t xml:space="preserve"> </w:t>
      </w:r>
      <w:r w:rsidR="0049052B" w:rsidRPr="00002161">
        <w:rPr>
          <w:i/>
          <w:iCs/>
        </w:rPr>
        <w:t>Id</w:t>
      </w:r>
      <w:r w:rsidR="0049052B" w:rsidRPr="00413148">
        <w:t>.</w:t>
      </w:r>
    </w:p>
  </w:footnote>
  <w:footnote w:id="175">
    <w:p w14:paraId="65011BD3" w14:textId="66EB7368" w:rsidR="00936AD6" w:rsidRPr="00413148" w:rsidRDefault="00936AD6" w:rsidP="00C32779">
      <w:pPr>
        <w:pStyle w:val="FootnoteText"/>
        <w:ind w:left="0"/>
      </w:pPr>
      <w:r w:rsidRPr="00413148">
        <w:rPr>
          <w:rStyle w:val="FootnoteReference"/>
        </w:rPr>
        <w:footnoteRef/>
      </w:r>
      <w:r w:rsidRPr="00413148">
        <w:t xml:space="preserve"> </w:t>
      </w:r>
      <w:r w:rsidR="00320E4E" w:rsidRPr="00413148">
        <w:rPr>
          <w:i/>
          <w:iCs/>
        </w:rPr>
        <w:t>Id.</w:t>
      </w:r>
      <w:r w:rsidRPr="00413148">
        <w:t xml:space="preserve"> § 8-107(5)(a)(2).</w:t>
      </w:r>
    </w:p>
  </w:footnote>
  <w:footnote w:id="176">
    <w:p w14:paraId="76955C9E" w14:textId="77777777" w:rsidR="00936AD6" w:rsidRPr="00413148" w:rsidRDefault="00936AD6" w:rsidP="00C32779">
      <w:pPr>
        <w:pStyle w:val="FootnoteText"/>
        <w:ind w:left="0"/>
      </w:pPr>
      <w:r w:rsidRPr="00413148">
        <w:rPr>
          <w:rStyle w:val="FootnoteReference"/>
        </w:rPr>
        <w:footnoteRef/>
      </w:r>
      <w:r w:rsidRPr="00413148">
        <w:t xml:space="preserve"> </w:t>
      </w:r>
      <w:r w:rsidRPr="00413148">
        <w:rPr>
          <w:i/>
        </w:rPr>
        <w:t>Id</w:t>
      </w:r>
      <w:r w:rsidRPr="00413148">
        <w:t>.</w:t>
      </w:r>
    </w:p>
  </w:footnote>
  <w:footnote w:id="177">
    <w:p w14:paraId="5B0F19F9" w14:textId="7DFAB348" w:rsidR="00AD1B41" w:rsidRPr="00413148" w:rsidRDefault="00AD1B41" w:rsidP="00C32779">
      <w:pPr>
        <w:pStyle w:val="FootnoteText"/>
        <w:ind w:left="0"/>
      </w:pPr>
      <w:r w:rsidRPr="00413148">
        <w:rPr>
          <w:rStyle w:val="FootnoteReference"/>
        </w:rPr>
        <w:footnoteRef/>
      </w:r>
      <w:r w:rsidRPr="00413148">
        <w:t xml:space="preserve"> </w:t>
      </w:r>
      <w:r w:rsidRPr="00413148">
        <w:rPr>
          <w:i/>
          <w:iCs/>
        </w:rPr>
        <w:t>See</w:t>
      </w:r>
      <w:r w:rsidRPr="00413148">
        <w:t xml:space="preserve"> </w:t>
      </w:r>
      <w:r w:rsidR="00320E4E" w:rsidRPr="00413148">
        <w:rPr>
          <w:i/>
          <w:iCs/>
        </w:rPr>
        <w:t>id.</w:t>
      </w:r>
      <w:r w:rsidRPr="00413148">
        <w:t xml:space="preserve"> § 8-107(5)(m).</w:t>
      </w:r>
    </w:p>
  </w:footnote>
  <w:footnote w:id="178">
    <w:p w14:paraId="6D6459F8" w14:textId="7C30C431" w:rsidR="00B4334A" w:rsidRPr="00413148" w:rsidRDefault="00B4334A" w:rsidP="00C32779">
      <w:pPr>
        <w:pStyle w:val="FootnoteText"/>
        <w:ind w:left="0"/>
      </w:pPr>
      <w:r w:rsidRPr="00413148">
        <w:rPr>
          <w:rStyle w:val="FootnoteReference"/>
        </w:rPr>
        <w:footnoteRef/>
      </w:r>
      <w:r w:rsidRPr="00413148">
        <w:t xml:space="preserve"> </w:t>
      </w:r>
      <w:r w:rsidR="00FD5DB7" w:rsidRPr="00413148">
        <w:rPr>
          <w:i/>
          <w:iCs/>
        </w:rPr>
        <w:t>Id.</w:t>
      </w:r>
      <w:r w:rsidRPr="00413148">
        <w:t xml:space="preserve"> § 8-107(2)</w:t>
      </w:r>
      <w:r w:rsidR="00813CC2" w:rsidRPr="00413148">
        <w:t xml:space="preserve"> (“The term </w:t>
      </w:r>
      <w:r w:rsidR="00FD5DB7" w:rsidRPr="00413148">
        <w:t>‘</w:t>
      </w:r>
      <w:r w:rsidR="00813CC2" w:rsidRPr="00413148">
        <w:t>housing accommodation</w:t>
      </w:r>
      <w:r w:rsidR="00FD5DB7" w:rsidRPr="00413148">
        <w:t>’</w:t>
      </w:r>
      <w:r w:rsidR="00813CC2" w:rsidRPr="00413148">
        <w:t xml:space="preserve"> includes any building, structure or portion thereof that is used or occupied or is intended, arranged or designed to be used or occupied, as the home, residence or sleeping place of one or more human beings. Except as otherwise specifically provided, such term includes a publicly-assisted housing accommodation.”).  </w:t>
      </w:r>
    </w:p>
  </w:footnote>
  <w:footnote w:id="179">
    <w:p w14:paraId="3DDC6A3E" w14:textId="536322A2" w:rsidR="00936AD6" w:rsidRPr="00413148" w:rsidRDefault="00936AD6" w:rsidP="00C32779">
      <w:pPr>
        <w:pStyle w:val="FootnoteText"/>
        <w:ind w:left="0"/>
        <w:rPr>
          <w:i/>
        </w:rPr>
      </w:pPr>
      <w:r w:rsidRPr="00413148">
        <w:rPr>
          <w:rStyle w:val="FootnoteReference"/>
        </w:rPr>
        <w:footnoteRef/>
      </w:r>
      <w:r w:rsidRPr="00413148">
        <w:t xml:space="preserve"> The NYCHRL requires housing providers to grant reasonable accommodations that would enable a resident equal use and enjoyment of their housing unit. </w:t>
      </w:r>
      <w:r w:rsidRPr="00413148">
        <w:rPr>
          <w:i/>
        </w:rPr>
        <w:t xml:space="preserve">See In re Comm’n on Human Rights ex rel. L.D. v. </w:t>
      </w:r>
      <w:proofErr w:type="spellStart"/>
      <w:r w:rsidRPr="00413148">
        <w:rPr>
          <w:i/>
        </w:rPr>
        <w:t>Riverbay</w:t>
      </w:r>
      <w:proofErr w:type="spellEnd"/>
      <w:r w:rsidRPr="00413148">
        <w:rPr>
          <w:i/>
        </w:rPr>
        <w:t xml:space="preserve"> Corp.</w:t>
      </w:r>
      <w:r w:rsidRPr="00413148">
        <w:t>, 2011 WL 12687937, at *12.</w:t>
      </w:r>
    </w:p>
  </w:footnote>
  <w:footnote w:id="180">
    <w:p w14:paraId="4BE49CC5" w14:textId="77777777" w:rsidR="00936AD6" w:rsidRPr="00413148" w:rsidRDefault="00936AD6" w:rsidP="00C32779">
      <w:pPr>
        <w:pStyle w:val="FootnoteText"/>
        <w:ind w:left="0"/>
      </w:pPr>
      <w:r w:rsidRPr="00413148">
        <w:rPr>
          <w:rStyle w:val="FootnoteReference"/>
        </w:rPr>
        <w:footnoteRef/>
      </w:r>
      <w:r w:rsidRPr="00413148">
        <w:t xml:space="preserve"> </w:t>
      </w:r>
      <w:r w:rsidR="00457BAD" w:rsidRPr="00413148">
        <w:t>T</w:t>
      </w:r>
      <w:r w:rsidRPr="00413148">
        <w:t xml:space="preserve">he NYCHRL does not make a distinction between modifications in common areas and non-common areas in apartment buildings. </w:t>
      </w:r>
    </w:p>
  </w:footnote>
  <w:footnote w:id="181">
    <w:p w14:paraId="1C5F2003" w14:textId="77777777" w:rsidR="00936AD6" w:rsidRPr="00413148" w:rsidRDefault="00936AD6" w:rsidP="00C32779">
      <w:pPr>
        <w:pStyle w:val="FootnoteText"/>
        <w:ind w:left="0"/>
      </w:pPr>
      <w:r w:rsidRPr="00413148">
        <w:rPr>
          <w:rStyle w:val="FootnoteReference"/>
        </w:rPr>
        <w:footnoteRef/>
      </w:r>
      <w:r w:rsidRPr="00413148">
        <w:t xml:space="preserve"> If a tenant is in a rent-stabilized or rent-controlled unit, the housing provider should make every reasonable effort to relocate the tenant to another rent-stabilized or rent-controlled unit.</w:t>
      </w:r>
    </w:p>
  </w:footnote>
  <w:footnote w:id="182">
    <w:p w14:paraId="085BE2E4" w14:textId="574D0467" w:rsidR="00936AD6" w:rsidRPr="00413148" w:rsidRDefault="00936AD6" w:rsidP="00C32779">
      <w:pPr>
        <w:pStyle w:val="FootnoteText"/>
        <w:ind w:left="0"/>
      </w:pPr>
      <w:r w:rsidRPr="00413148">
        <w:rPr>
          <w:rStyle w:val="FootnoteReference"/>
        </w:rPr>
        <w:footnoteRef/>
      </w:r>
      <w:r w:rsidRPr="00413148">
        <w:t xml:space="preserve"> </w:t>
      </w:r>
      <w:r w:rsidRPr="00413148">
        <w:rPr>
          <w:i/>
          <w:iCs/>
        </w:rPr>
        <w:t>See</w:t>
      </w:r>
      <w:r w:rsidRPr="00413148">
        <w:t xml:space="preserve"> </w:t>
      </w:r>
      <w:r w:rsidRPr="00413148">
        <w:rPr>
          <w:i/>
          <w:iCs/>
        </w:rPr>
        <w:t>Phillips</w:t>
      </w:r>
      <w:r w:rsidRPr="00413148">
        <w:t xml:space="preserve">, 66 A.D.3d </w:t>
      </w:r>
      <w:r w:rsidR="000C47F0" w:rsidRPr="00413148">
        <w:t xml:space="preserve">at </w:t>
      </w:r>
      <w:r w:rsidRPr="00413148">
        <w:t>177 n.5 (</w:t>
      </w:r>
      <w:r w:rsidR="001C0F27" w:rsidRPr="00413148">
        <w:t xml:space="preserve">stating that </w:t>
      </w:r>
      <w:r w:rsidRPr="00413148">
        <w:t xml:space="preserve">“the City HRL . . . requires the housing provider to make the change, and does not shift the cost to the person with a disability (unless the housing provider demonstrates undue hardship)”); </w:t>
      </w:r>
      <w:r w:rsidRPr="00413148">
        <w:rPr>
          <w:i/>
          <w:iCs/>
        </w:rPr>
        <w:t>see also In re Comm’n on Human Rights ex rel. Blue v. Jovic</w:t>
      </w:r>
      <w:r w:rsidRPr="00413148">
        <w:t>, , 2017 WL 2491797, at *18 (“Consistent with §§ 8-102(18) and 8-107(15)(a) of the NYCHRL, Respondent . . . shall bear the full cost of providing the reasonable accommodation and is prohibited from passing directly or indirectly any portion of that expense onto Complainants through any fee, rent increase, or other charge.”).</w:t>
      </w:r>
    </w:p>
  </w:footnote>
  <w:footnote w:id="183">
    <w:p w14:paraId="481C0976" w14:textId="77777777" w:rsidR="00A73ADD" w:rsidRPr="00413148" w:rsidRDefault="00A73ADD" w:rsidP="00C32779">
      <w:pPr>
        <w:pStyle w:val="FootnoteText"/>
        <w:ind w:left="0"/>
      </w:pPr>
      <w:r w:rsidRPr="00413148">
        <w:rPr>
          <w:rStyle w:val="FootnoteReference"/>
        </w:rPr>
        <w:footnoteRef/>
      </w:r>
      <w:r w:rsidRPr="00413148">
        <w:t xml:space="preserve"> N.Y.C. Admin. Code § 8-107(</w:t>
      </w:r>
      <w:r w:rsidR="00AB1DA9" w:rsidRPr="00413148">
        <w:t>1</w:t>
      </w:r>
      <w:r w:rsidRPr="00413148">
        <w:t>5).</w:t>
      </w:r>
    </w:p>
  </w:footnote>
  <w:footnote w:id="184">
    <w:p w14:paraId="76A3DC64" w14:textId="1A408933" w:rsidR="00936AD6" w:rsidRPr="00413148" w:rsidRDefault="00936AD6" w:rsidP="00C32779">
      <w:pPr>
        <w:pStyle w:val="FootnoteText"/>
        <w:ind w:left="0"/>
      </w:pPr>
      <w:r w:rsidRPr="00413148">
        <w:rPr>
          <w:rStyle w:val="FootnoteReference"/>
        </w:rPr>
        <w:footnoteRef/>
      </w:r>
      <w:r w:rsidRPr="00413148">
        <w:t xml:space="preserve"> Unlike the Fair Housing Act, under which housing providers are only responsible for the cost of reasonable physical accommodations in buildings built after March 13, 1991,</w:t>
      </w:r>
      <w:r w:rsidR="009079A6" w:rsidRPr="00413148">
        <w:t xml:space="preserve"> </w:t>
      </w:r>
      <w:r w:rsidR="009079A6" w:rsidRPr="00413148">
        <w:rPr>
          <w:i/>
          <w:iCs/>
        </w:rPr>
        <w:t>see</w:t>
      </w:r>
      <w:r w:rsidR="009079A6" w:rsidRPr="00413148">
        <w:t xml:space="preserve"> 24 C.F.R. § 100.20</w:t>
      </w:r>
      <w:r w:rsidR="000C2611" w:rsidRPr="00413148">
        <w:t>5</w:t>
      </w:r>
      <w:r w:rsidR="009079A6" w:rsidRPr="00413148">
        <w:t>,</w:t>
      </w:r>
      <w:r w:rsidRPr="00413148">
        <w:t xml:space="preserve"> all housing providers are responsible for the cost of reasonable physical accommodations to their buildings under the NYCHRL (although condo and coop boards are only responsible for the cost of accommodations in common areas). </w:t>
      </w:r>
      <w:r w:rsidRPr="00413148">
        <w:rPr>
          <w:i/>
        </w:rPr>
        <w:t xml:space="preserve">See In re Comm’n on Human Rights ex rel. </w:t>
      </w:r>
      <w:proofErr w:type="gramStart"/>
      <w:r w:rsidRPr="00413148">
        <w:rPr>
          <w:i/>
        </w:rPr>
        <w:t>Blue</w:t>
      </w:r>
      <w:proofErr w:type="gramEnd"/>
      <w:r w:rsidRPr="00413148">
        <w:rPr>
          <w:i/>
        </w:rPr>
        <w:t xml:space="preserve"> v. Jovic</w:t>
      </w:r>
      <w:proofErr w:type="gramStart"/>
      <w:r w:rsidRPr="00413148">
        <w:t>, ,</w:t>
      </w:r>
      <w:proofErr w:type="gramEnd"/>
      <w:r w:rsidRPr="00413148">
        <w:t xml:space="preserve"> 2017 WL 2491797, at *17.</w:t>
      </w:r>
    </w:p>
  </w:footnote>
  <w:footnote w:id="185">
    <w:p w14:paraId="074AD115" w14:textId="77777777" w:rsidR="00936AD6" w:rsidRPr="00413148" w:rsidRDefault="00936AD6" w:rsidP="00C32779">
      <w:pPr>
        <w:pStyle w:val="FootnoteText"/>
        <w:ind w:left="0"/>
      </w:pPr>
      <w:r w:rsidRPr="00413148">
        <w:rPr>
          <w:rStyle w:val="FootnoteReference"/>
        </w:rPr>
        <w:footnoteRef/>
      </w:r>
      <w:r w:rsidRPr="00413148">
        <w:t xml:space="preserve"> Some factors that may be considered in determining whether a </w:t>
      </w:r>
      <w:r w:rsidR="005E4D81" w:rsidRPr="00413148">
        <w:t xml:space="preserve">housing accommodation’s </w:t>
      </w:r>
      <w:r w:rsidRPr="00413148">
        <w:t>entrance is a main entrance include the location of security, mailboxes, and the lobby area, access to elevators and other amenities in the building, and the area the residents consider the main entrance.</w:t>
      </w:r>
    </w:p>
  </w:footnote>
  <w:footnote w:id="186">
    <w:p w14:paraId="5C43C3B5" w14:textId="6DBBC525" w:rsidR="00936AD6" w:rsidRPr="00413148" w:rsidRDefault="00936AD6" w:rsidP="00C32779">
      <w:pPr>
        <w:pStyle w:val="FootnoteText"/>
        <w:ind w:left="0"/>
      </w:pPr>
      <w:r w:rsidRPr="00413148">
        <w:rPr>
          <w:rStyle w:val="FootnoteReference"/>
        </w:rPr>
        <w:footnoteRef/>
      </w:r>
      <w:r w:rsidRPr="00413148">
        <w:t xml:space="preserve"> </w:t>
      </w:r>
      <w:r w:rsidR="004F60A5" w:rsidRPr="004B4946">
        <w:rPr>
          <w:i/>
        </w:rPr>
        <w:t xml:space="preserve">See </w:t>
      </w:r>
      <w:r w:rsidRPr="004B4946">
        <w:rPr>
          <w:i/>
        </w:rPr>
        <w:t xml:space="preserve">In re Comm’n on Human Rights ex rel. Rose v. </w:t>
      </w:r>
      <w:proofErr w:type="spellStart"/>
      <w:r w:rsidRPr="004B4946">
        <w:rPr>
          <w:i/>
        </w:rPr>
        <w:t>Riverbay</w:t>
      </w:r>
      <w:proofErr w:type="spellEnd"/>
      <w:r w:rsidRPr="004B4946">
        <w:rPr>
          <w:i/>
        </w:rPr>
        <w:t xml:space="preserve"> </w:t>
      </w:r>
      <w:r w:rsidRPr="00413148">
        <w:t>Corp., 2010 WL 8625897, at *2 n.1.</w:t>
      </w:r>
    </w:p>
  </w:footnote>
  <w:footnote w:id="187">
    <w:p w14:paraId="2EB7CF9F" w14:textId="097EFF8B" w:rsidR="00F01275" w:rsidRPr="00413148" w:rsidRDefault="00F01275" w:rsidP="00C32779">
      <w:pPr>
        <w:pStyle w:val="FootnoteText"/>
        <w:ind w:left="0"/>
      </w:pPr>
      <w:r w:rsidRPr="00413148">
        <w:rPr>
          <w:rStyle w:val="FootnoteReference"/>
        </w:rPr>
        <w:footnoteRef/>
      </w:r>
      <w:r w:rsidR="426CD109" w:rsidRPr="00413148">
        <w:t xml:space="preserve"> </w:t>
      </w:r>
      <w:r w:rsidR="426CD109" w:rsidRPr="00413148">
        <w:rPr>
          <w:i/>
          <w:iCs/>
        </w:rPr>
        <w:t>See infra</w:t>
      </w:r>
      <w:r w:rsidR="426CD109" w:rsidRPr="00413148">
        <w:t xml:space="preserve"> Part II(C)(iv)(b) for additional discussion of waivers in the housing context.</w:t>
      </w:r>
    </w:p>
  </w:footnote>
  <w:footnote w:id="188">
    <w:p w14:paraId="33F11C33" w14:textId="28E2C29D" w:rsidR="000F68E6" w:rsidRPr="00413148" w:rsidRDefault="000F68E6" w:rsidP="00C32779">
      <w:pPr>
        <w:pStyle w:val="FootnoteText"/>
        <w:ind w:left="0"/>
      </w:pPr>
      <w:r w:rsidRPr="00413148">
        <w:rPr>
          <w:rStyle w:val="FootnoteReference"/>
        </w:rPr>
        <w:footnoteRef/>
      </w:r>
      <w:r w:rsidRPr="00413148">
        <w:t xml:space="preserve"> </w:t>
      </w:r>
      <w:r w:rsidR="006C0B22" w:rsidRPr="00413148">
        <w:rPr>
          <w:i/>
          <w:iCs/>
        </w:rPr>
        <w:t>See</w:t>
      </w:r>
      <w:r w:rsidR="00857B52" w:rsidRPr="00413148">
        <w:t xml:space="preserve">, </w:t>
      </w:r>
      <w:r w:rsidR="00857B52" w:rsidRPr="00413148">
        <w:rPr>
          <w:i/>
          <w:iCs/>
        </w:rPr>
        <w:t>e.g.</w:t>
      </w:r>
      <w:r w:rsidR="00857B52" w:rsidRPr="00413148">
        <w:t>,</w:t>
      </w:r>
      <w:r w:rsidR="006C0B22" w:rsidRPr="00413148">
        <w:t xml:space="preserve"> </w:t>
      </w:r>
      <w:r w:rsidR="005C2DD0" w:rsidRPr="00413148">
        <w:rPr>
          <w:i/>
          <w:iCs/>
        </w:rPr>
        <w:t>Bentley v. Peace and Quiet Realty 2, LLC</w:t>
      </w:r>
      <w:r w:rsidR="003F1EF1" w:rsidRPr="00413148">
        <w:t xml:space="preserve">, </w:t>
      </w:r>
      <w:r w:rsidR="004058BF" w:rsidRPr="00413148">
        <w:t>367 F.</w:t>
      </w:r>
      <w:r w:rsidR="00857B52" w:rsidRPr="00413148">
        <w:t xml:space="preserve"> </w:t>
      </w:r>
      <w:r w:rsidR="004058BF" w:rsidRPr="00413148">
        <w:t>Supp</w:t>
      </w:r>
      <w:r w:rsidR="00DA3E64" w:rsidRPr="00413148">
        <w:t>.</w:t>
      </w:r>
      <w:r w:rsidR="00857B52" w:rsidRPr="00413148">
        <w:t xml:space="preserve"> </w:t>
      </w:r>
      <w:r w:rsidR="006E2A35" w:rsidRPr="00413148">
        <w:t xml:space="preserve">2d </w:t>
      </w:r>
      <w:r w:rsidR="00DA3E64" w:rsidRPr="00413148">
        <w:t xml:space="preserve">341 </w:t>
      </w:r>
      <w:r w:rsidR="003F1EF1" w:rsidRPr="00413148">
        <w:t>(</w:t>
      </w:r>
      <w:r w:rsidR="00DA3E64" w:rsidRPr="00413148">
        <w:t>E.D.N.Y. 2015</w:t>
      </w:r>
      <w:r w:rsidR="003F1EF1" w:rsidRPr="00413148">
        <w:t>)</w:t>
      </w:r>
      <w:r w:rsidR="008C42BA" w:rsidRPr="00413148">
        <w:t xml:space="preserve">; </w:t>
      </w:r>
      <w:r w:rsidR="002069E4" w:rsidRPr="00413148">
        <w:rPr>
          <w:i/>
          <w:iCs/>
        </w:rPr>
        <w:t>Birdwell v. Avalon Communities, Inc.</w:t>
      </w:r>
      <w:r w:rsidR="00B74FC4" w:rsidRPr="00413148">
        <w:t xml:space="preserve">, </w:t>
      </w:r>
      <w:r w:rsidR="002D0713" w:rsidRPr="00413148">
        <w:t>742 F.</w:t>
      </w:r>
      <w:r w:rsidR="00857B52" w:rsidRPr="00413148">
        <w:t xml:space="preserve"> </w:t>
      </w:r>
      <w:r w:rsidR="002D0713" w:rsidRPr="00413148">
        <w:t>Supp.</w:t>
      </w:r>
      <w:r w:rsidR="00857B52" w:rsidRPr="00413148">
        <w:t xml:space="preserve"> </w:t>
      </w:r>
      <w:r w:rsidR="002D0713" w:rsidRPr="00413148">
        <w:t xml:space="preserve">3d </w:t>
      </w:r>
      <w:r w:rsidR="0094590D" w:rsidRPr="00413148">
        <w:t>1024 (N.D.</w:t>
      </w:r>
      <w:r w:rsidR="00C65777" w:rsidRPr="00413148">
        <w:t xml:space="preserve"> </w:t>
      </w:r>
      <w:r w:rsidR="0094590D" w:rsidRPr="00413148">
        <w:t>C</w:t>
      </w:r>
      <w:r w:rsidR="00C65777" w:rsidRPr="00413148">
        <w:t>al</w:t>
      </w:r>
      <w:r w:rsidR="0094590D" w:rsidRPr="00413148">
        <w:t xml:space="preserve">. 2024); </w:t>
      </w:r>
      <w:r w:rsidR="002A046B" w:rsidRPr="00413148">
        <w:rPr>
          <w:i/>
          <w:iCs/>
        </w:rPr>
        <w:t>Holland v. Related Companies, Inc.</w:t>
      </w:r>
      <w:r w:rsidR="002A046B" w:rsidRPr="00413148">
        <w:t xml:space="preserve">, </w:t>
      </w:r>
      <w:r w:rsidR="00566B9B" w:rsidRPr="00413148">
        <w:t xml:space="preserve">2015 WL </w:t>
      </w:r>
      <w:r w:rsidR="00A60005" w:rsidRPr="00413148">
        <w:t>4498776 (N.D.</w:t>
      </w:r>
      <w:r w:rsidR="00C65777" w:rsidRPr="00413148">
        <w:t xml:space="preserve"> </w:t>
      </w:r>
      <w:r w:rsidR="00A60005" w:rsidRPr="00413148">
        <w:t>C</w:t>
      </w:r>
      <w:r w:rsidR="00C65777" w:rsidRPr="00413148">
        <w:t>al</w:t>
      </w:r>
      <w:r w:rsidR="00A60005" w:rsidRPr="00413148">
        <w:t xml:space="preserve">. </w:t>
      </w:r>
      <w:r w:rsidR="00CD5DCE" w:rsidRPr="00413148">
        <w:t xml:space="preserve">Jul. 23, </w:t>
      </w:r>
      <w:r w:rsidR="00A60005" w:rsidRPr="00413148">
        <w:t>2015)</w:t>
      </w:r>
      <w:r w:rsidR="000F0001" w:rsidRPr="00413148">
        <w:t>.</w:t>
      </w:r>
      <w:r w:rsidR="00275E5F" w:rsidRPr="00413148">
        <w:t xml:space="preserve"> </w:t>
      </w:r>
    </w:p>
  </w:footnote>
  <w:footnote w:id="189">
    <w:p w14:paraId="5CA4CA92" w14:textId="2BED9721" w:rsidR="00F21D2B" w:rsidRPr="00413148" w:rsidRDefault="00F21D2B" w:rsidP="00C32779">
      <w:pPr>
        <w:pStyle w:val="FootnoteText"/>
        <w:ind w:left="0"/>
      </w:pPr>
      <w:r w:rsidRPr="00413148">
        <w:rPr>
          <w:rStyle w:val="FootnoteReference"/>
        </w:rPr>
        <w:footnoteRef/>
      </w:r>
      <w:r w:rsidRPr="00413148">
        <w:t xml:space="preserve"> </w:t>
      </w:r>
      <w:r w:rsidRPr="00413148">
        <w:rPr>
          <w:i/>
          <w:iCs/>
        </w:rPr>
        <w:t xml:space="preserve">See </w:t>
      </w:r>
      <w:r w:rsidR="00131A2A" w:rsidRPr="00413148">
        <w:rPr>
          <w:i/>
          <w:iCs/>
        </w:rPr>
        <w:t xml:space="preserve">supra </w:t>
      </w:r>
      <w:r w:rsidR="00131A2A" w:rsidRPr="00413148">
        <w:t xml:space="preserve">note </w:t>
      </w:r>
      <w:r w:rsidR="00147AC9" w:rsidRPr="00413148">
        <w:t>6</w:t>
      </w:r>
      <w:r w:rsidR="00A672ED" w:rsidRPr="00413148">
        <w:t>6</w:t>
      </w:r>
      <w:r w:rsidR="00147AC9" w:rsidRPr="00413148">
        <w:t>.</w:t>
      </w:r>
    </w:p>
  </w:footnote>
  <w:footnote w:id="190">
    <w:p w14:paraId="38FC2BA4" w14:textId="58EFA327" w:rsidR="0060391C" w:rsidRPr="00413148" w:rsidRDefault="0060391C" w:rsidP="00C32779">
      <w:pPr>
        <w:pStyle w:val="FootnoteText"/>
        <w:ind w:left="0"/>
      </w:pPr>
      <w:r w:rsidRPr="00413148">
        <w:rPr>
          <w:rStyle w:val="FootnoteReference"/>
        </w:rPr>
        <w:footnoteRef/>
      </w:r>
      <w:r w:rsidRPr="00413148">
        <w:t xml:space="preserve"> </w:t>
      </w:r>
      <w:r w:rsidRPr="00413148">
        <w:rPr>
          <w:i/>
          <w:iCs/>
        </w:rPr>
        <w:t>See supra</w:t>
      </w:r>
      <w:r w:rsidRPr="00413148">
        <w:t xml:space="preserve"> note </w:t>
      </w:r>
      <w:r w:rsidR="001954EA" w:rsidRPr="00413148">
        <w:t>6</w:t>
      </w:r>
      <w:r w:rsidR="00A672ED" w:rsidRPr="00413148">
        <w:t>7</w:t>
      </w:r>
      <w:r w:rsidR="001954EA" w:rsidRPr="00413148">
        <w:t>.</w:t>
      </w:r>
    </w:p>
  </w:footnote>
  <w:footnote w:id="191">
    <w:p w14:paraId="3D22FBEF" w14:textId="2CCC28FC" w:rsidR="00F21D2B" w:rsidRPr="00413148" w:rsidRDefault="00F21D2B" w:rsidP="008A0C83">
      <w:pPr>
        <w:pStyle w:val="FootnoteText"/>
        <w:ind w:left="0"/>
      </w:pPr>
      <w:r w:rsidRPr="00413148">
        <w:rPr>
          <w:rStyle w:val="FootnoteReference"/>
        </w:rPr>
        <w:footnoteRef/>
      </w:r>
      <w:r w:rsidRPr="00413148">
        <w:t xml:space="preserve"> </w:t>
      </w:r>
      <w:r w:rsidRPr="00413148">
        <w:rPr>
          <w:i/>
        </w:rPr>
        <w:t>See</w:t>
      </w:r>
      <w:r w:rsidRPr="00413148">
        <w:t xml:space="preserve"> </w:t>
      </w:r>
      <w:r w:rsidR="00131A2A" w:rsidRPr="00413148">
        <w:rPr>
          <w:i/>
          <w:iCs/>
        </w:rPr>
        <w:t xml:space="preserve">supra </w:t>
      </w:r>
      <w:r w:rsidR="00131A2A" w:rsidRPr="00413148">
        <w:t>note 1</w:t>
      </w:r>
      <w:r w:rsidR="009F59FA" w:rsidRPr="00413148">
        <w:t>23</w:t>
      </w:r>
      <w:r w:rsidR="00131A2A" w:rsidRPr="00413148">
        <w:t xml:space="preserve"> and</w:t>
      </w:r>
      <w:r w:rsidRPr="00413148">
        <w:t xml:space="preserve"> Part I(D)(ii</w:t>
      </w:r>
      <w:r w:rsidRPr="00413148" w:rsidDel="00813BFD">
        <w:t>)</w:t>
      </w:r>
      <w:r w:rsidRPr="00413148">
        <w:t xml:space="preserve"> for a discussion on cooperative dialogue. </w:t>
      </w:r>
    </w:p>
  </w:footnote>
  <w:footnote w:id="192">
    <w:p w14:paraId="0227D300" w14:textId="2F4D1D25" w:rsidR="00F21D2B" w:rsidRPr="00413148" w:rsidRDefault="00F21D2B" w:rsidP="008A0C83">
      <w:pPr>
        <w:pStyle w:val="FootnoteText"/>
        <w:ind w:left="0"/>
      </w:pPr>
      <w:r w:rsidRPr="00413148">
        <w:rPr>
          <w:rStyle w:val="FootnoteReference"/>
        </w:rPr>
        <w:footnoteRef/>
      </w:r>
      <w:r w:rsidRPr="00413148">
        <w:t xml:space="preserve"> </w:t>
      </w:r>
      <w:r w:rsidR="00131A2A" w:rsidRPr="00413148">
        <w:rPr>
          <w:i/>
          <w:iCs/>
        </w:rPr>
        <w:t xml:space="preserve">See supra </w:t>
      </w:r>
      <w:r w:rsidR="00131A2A" w:rsidRPr="00413148">
        <w:t>note 1</w:t>
      </w:r>
      <w:r w:rsidR="0060391C" w:rsidRPr="00413148">
        <w:t>2</w:t>
      </w:r>
      <w:r w:rsidR="009F59FA" w:rsidRPr="00413148">
        <w:t>4</w:t>
      </w:r>
      <w:r w:rsidR="00131A2A" w:rsidRPr="00413148">
        <w:t>.</w:t>
      </w:r>
    </w:p>
  </w:footnote>
  <w:footnote w:id="193">
    <w:p w14:paraId="4CD64BF0" w14:textId="3C63E6DD" w:rsidR="00F21D2B" w:rsidRPr="00413148" w:rsidRDefault="00F21D2B" w:rsidP="00F21D2B">
      <w:pPr>
        <w:spacing w:after="120" w:line="40" w:lineRule="atLeast"/>
      </w:pPr>
      <w:r w:rsidRPr="00413148">
        <w:rPr>
          <w:rStyle w:val="FootnoteReference"/>
          <w:rFonts w:cs="Arial"/>
          <w:szCs w:val="32"/>
        </w:rPr>
        <w:footnoteRef/>
      </w:r>
      <w:r w:rsidRPr="00413148">
        <w:rPr>
          <w:rFonts w:cs="Arial"/>
          <w:szCs w:val="32"/>
        </w:rPr>
        <w:t xml:space="preserve"> </w:t>
      </w:r>
      <w:r w:rsidRPr="00413148">
        <w:rPr>
          <w:i/>
        </w:rPr>
        <w:t xml:space="preserve">See </w:t>
      </w:r>
      <w:r w:rsidR="00131A2A" w:rsidRPr="00413148">
        <w:rPr>
          <w:i/>
        </w:rPr>
        <w:t xml:space="preserve">supra </w:t>
      </w:r>
      <w:r w:rsidR="00131A2A" w:rsidRPr="00413148">
        <w:rPr>
          <w:iCs/>
        </w:rPr>
        <w:t xml:space="preserve">note </w:t>
      </w:r>
      <w:r w:rsidR="005C0460" w:rsidRPr="00413148">
        <w:rPr>
          <w:iCs/>
        </w:rPr>
        <w:t>1</w:t>
      </w:r>
      <w:r w:rsidR="0060391C" w:rsidRPr="00413148">
        <w:rPr>
          <w:iCs/>
        </w:rPr>
        <w:t>2</w:t>
      </w:r>
      <w:r w:rsidR="009F59FA" w:rsidRPr="00413148">
        <w:rPr>
          <w:iCs/>
        </w:rPr>
        <w:t>5</w:t>
      </w:r>
      <w:r w:rsidR="005C0460" w:rsidRPr="00413148">
        <w:rPr>
          <w:iCs/>
        </w:rPr>
        <w:t xml:space="preserve"> and </w:t>
      </w:r>
      <w:r w:rsidRPr="00413148">
        <w:t>Part I(D)(ii)</w:t>
      </w:r>
      <w:r w:rsidR="005C0460" w:rsidRPr="00413148">
        <w:t>.</w:t>
      </w:r>
    </w:p>
  </w:footnote>
  <w:footnote w:id="194">
    <w:p w14:paraId="542C2515" w14:textId="77777777" w:rsidR="00F21D2B" w:rsidRPr="00413148" w:rsidRDefault="00F21D2B" w:rsidP="008A0C83">
      <w:pPr>
        <w:pStyle w:val="FootnoteText"/>
        <w:ind w:left="0"/>
      </w:pPr>
      <w:r w:rsidRPr="00413148">
        <w:rPr>
          <w:rStyle w:val="FootnoteReference"/>
        </w:rPr>
        <w:footnoteRef/>
      </w:r>
      <w:r w:rsidRPr="00413148">
        <w:t xml:space="preserve"> </w:t>
      </w:r>
      <w:r w:rsidR="00222BF8" w:rsidRPr="00413148">
        <w:rPr>
          <w:i/>
          <w:iCs/>
        </w:rPr>
        <w:t>Id</w:t>
      </w:r>
      <w:r w:rsidR="005C0460" w:rsidRPr="00413148">
        <w:t>.</w:t>
      </w:r>
    </w:p>
  </w:footnote>
  <w:footnote w:id="195">
    <w:p w14:paraId="3C9780E1" w14:textId="77777777" w:rsidR="00FF1E47" w:rsidRPr="00413148" w:rsidRDefault="00FF1E47" w:rsidP="00FF1E47">
      <w:pPr>
        <w:spacing w:after="120" w:line="40" w:lineRule="atLeast"/>
      </w:pPr>
      <w:r w:rsidRPr="00413148">
        <w:rPr>
          <w:rStyle w:val="FootnoteReference"/>
          <w:rFonts w:cs="Arial"/>
          <w:szCs w:val="32"/>
        </w:rPr>
        <w:footnoteRef/>
      </w:r>
      <w:r w:rsidRPr="00413148">
        <w:t xml:space="preserve"> </w:t>
      </w:r>
      <w:r w:rsidRPr="00413148">
        <w:rPr>
          <w:i/>
        </w:rPr>
        <w:t>Id.</w:t>
      </w:r>
    </w:p>
  </w:footnote>
  <w:footnote w:id="196">
    <w:p w14:paraId="1B3800F2" w14:textId="77777777" w:rsidR="00C24B0A" w:rsidRPr="00413148" w:rsidRDefault="00C24B0A" w:rsidP="008A0C83">
      <w:pPr>
        <w:pStyle w:val="FootnoteText"/>
        <w:ind w:left="0"/>
      </w:pPr>
      <w:r w:rsidRPr="00413148">
        <w:rPr>
          <w:rStyle w:val="FootnoteReference"/>
        </w:rPr>
        <w:footnoteRef/>
      </w:r>
      <w:r w:rsidRPr="00413148">
        <w:t xml:space="preserve"> N.Y.C. Admin. Code § 8-107(28)(f); Local Law No. 59 (2018).</w:t>
      </w:r>
    </w:p>
  </w:footnote>
  <w:footnote w:id="197">
    <w:p w14:paraId="4E890926" w14:textId="2370FD91" w:rsidR="00C24B0A" w:rsidRPr="00413148" w:rsidRDefault="00C24B0A" w:rsidP="008A0C83">
      <w:pPr>
        <w:pStyle w:val="FootnoteText"/>
        <w:ind w:left="0"/>
      </w:pPr>
      <w:r w:rsidRPr="00413148">
        <w:rPr>
          <w:rStyle w:val="FootnoteReference"/>
        </w:rPr>
        <w:footnoteRef/>
      </w:r>
      <w:r w:rsidRPr="00413148">
        <w:t xml:space="preserve"> </w:t>
      </w:r>
      <w:r w:rsidR="00FA0949" w:rsidRPr="00413148">
        <w:rPr>
          <w:i/>
          <w:iCs/>
        </w:rPr>
        <w:t>See supra</w:t>
      </w:r>
      <w:r w:rsidR="00FA0949" w:rsidRPr="00413148">
        <w:t xml:space="preserve"> note 95</w:t>
      </w:r>
      <w:r w:rsidRPr="00413148">
        <w:t>.</w:t>
      </w:r>
    </w:p>
  </w:footnote>
  <w:footnote w:id="198">
    <w:p w14:paraId="7A30CA59" w14:textId="5478C6A7" w:rsidR="00C24B0A" w:rsidRPr="00413148" w:rsidRDefault="00C24B0A" w:rsidP="008A0C83">
      <w:pPr>
        <w:pStyle w:val="FootnoteText"/>
        <w:ind w:left="0"/>
      </w:pPr>
      <w:r w:rsidRPr="00413148">
        <w:rPr>
          <w:rStyle w:val="FootnoteReference"/>
        </w:rPr>
        <w:footnoteRef/>
      </w:r>
      <w:r w:rsidRPr="00413148">
        <w:t xml:space="preserve"> </w:t>
      </w:r>
      <w:r w:rsidRPr="00413148">
        <w:rPr>
          <w:i/>
        </w:rPr>
        <w:t xml:space="preserve">See </w:t>
      </w:r>
      <w:r w:rsidR="000B2872" w:rsidRPr="00413148">
        <w:rPr>
          <w:i/>
        </w:rPr>
        <w:t>supra</w:t>
      </w:r>
      <w:r w:rsidR="000B2872" w:rsidRPr="00413148">
        <w:rPr>
          <w:iCs/>
        </w:rPr>
        <w:t xml:space="preserve"> note 97</w:t>
      </w:r>
      <w:r w:rsidRPr="00413148">
        <w:t>.</w:t>
      </w:r>
    </w:p>
  </w:footnote>
  <w:footnote w:id="199">
    <w:p w14:paraId="3CCFA67A" w14:textId="04BFF302" w:rsidR="00C24B0A" w:rsidRPr="00413148" w:rsidRDefault="00C24B0A" w:rsidP="00C24B0A">
      <w:pPr>
        <w:spacing w:after="120" w:line="40" w:lineRule="atLeast"/>
      </w:pPr>
      <w:r w:rsidRPr="00413148">
        <w:rPr>
          <w:rStyle w:val="FootnoteReference"/>
          <w:rFonts w:cs="Arial"/>
          <w:szCs w:val="32"/>
        </w:rPr>
        <w:footnoteRef/>
      </w:r>
      <w:r w:rsidRPr="00413148">
        <w:t xml:space="preserve"> </w:t>
      </w:r>
      <w:r w:rsidR="000B2872" w:rsidRPr="00413148">
        <w:rPr>
          <w:i/>
        </w:rPr>
        <w:t>See supra</w:t>
      </w:r>
      <w:r w:rsidR="000B2872" w:rsidRPr="00413148">
        <w:rPr>
          <w:iCs/>
        </w:rPr>
        <w:t xml:space="preserve"> note 98</w:t>
      </w:r>
      <w:r w:rsidRPr="00413148">
        <w:t>.</w:t>
      </w:r>
    </w:p>
  </w:footnote>
  <w:footnote w:id="200">
    <w:p w14:paraId="053270C3" w14:textId="77777777" w:rsidR="00D82D37" w:rsidRPr="00413148" w:rsidRDefault="00D82D37" w:rsidP="008A0C83">
      <w:pPr>
        <w:pStyle w:val="FootnoteText"/>
        <w:ind w:left="0"/>
      </w:pPr>
      <w:r w:rsidRPr="00413148">
        <w:rPr>
          <w:rStyle w:val="FootnoteReference"/>
        </w:rPr>
        <w:footnoteRef/>
      </w:r>
      <w:r w:rsidRPr="00413148">
        <w:t xml:space="preserve"> N.Y.C. Admin. Code § 8-102.</w:t>
      </w:r>
    </w:p>
  </w:footnote>
  <w:footnote w:id="201">
    <w:p w14:paraId="7B1CA587" w14:textId="7E1167AD" w:rsidR="001655AC" w:rsidRPr="00413148" w:rsidRDefault="001655AC" w:rsidP="008A0C83">
      <w:pPr>
        <w:pStyle w:val="FootnoteText"/>
        <w:ind w:left="0"/>
      </w:pPr>
      <w:r w:rsidRPr="00413148">
        <w:rPr>
          <w:rStyle w:val="FootnoteReference"/>
        </w:rPr>
        <w:footnoteRef/>
      </w:r>
      <w:r w:rsidRPr="00413148">
        <w:t xml:space="preserve"> </w:t>
      </w:r>
      <w:r w:rsidR="002F56E5" w:rsidRPr="00413148">
        <w:rPr>
          <w:i/>
          <w:iCs/>
        </w:rPr>
        <w:t>Id.</w:t>
      </w:r>
      <w:r w:rsidRPr="00413148">
        <w:t xml:space="preserve"> § 8-107(7).</w:t>
      </w:r>
    </w:p>
  </w:footnote>
  <w:footnote w:id="202">
    <w:p w14:paraId="15073132" w14:textId="77777777" w:rsidR="001655AC" w:rsidRPr="00413148" w:rsidRDefault="001655AC" w:rsidP="008A0C83">
      <w:pPr>
        <w:pStyle w:val="FootnoteText"/>
        <w:ind w:left="0"/>
      </w:pPr>
      <w:r w:rsidRPr="00413148">
        <w:rPr>
          <w:rStyle w:val="FootnoteReference"/>
        </w:rPr>
        <w:footnoteRef/>
      </w:r>
      <w:r w:rsidR="002D71E2" w:rsidRPr="00413148">
        <w:t xml:space="preserve"> </w:t>
      </w:r>
      <w:r w:rsidR="00871219" w:rsidRPr="000113C8">
        <w:rPr>
          <w:i/>
          <w:iCs/>
        </w:rPr>
        <w:t>Id</w:t>
      </w:r>
      <w:r w:rsidRPr="00413148">
        <w:t>.</w:t>
      </w:r>
    </w:p>
  </w:footnote>
  <w:footnote w:id="203">
    <w:p w14:paraId="4FF6F619" w14:textId="77777777" w:rsidR="001655AC" w:rsidRPr="00413148" w:rsidRDefault="001655AC" w:rsidP="008A0C83">
      <w:pPr>
        <w:pStyle w:val="FootnoteText"/>
        <w:ind w:left="0"/>
      </w:pPr>
      <w:r w:rsidRPr="00413148">
        <w:rPr>
          <w:rStyle w:val="FootnoteReference"/>
        </w:rPr>
        <w:footnoteRef/>
      </w:r>
      <w:r w:rsidRPr="000113C8">
        <w:rPr>
          <w:i/>
          <w:iCs/>
        </w:rPr>
        <w:t xml:space="preserve"> Id</w:t>
      </w:r>
      <w:r w:rsidRPr="00413148">
        <w:rPr>
          <w:iCs/>
        </w:rPr>
        <w:t>.</w:t>
      </w:r>
    </w:p>
  </w:footnote>
  <w:footnote w:id="204">
    <w:p w14:paraId="504BF9FE" w14:textId="77777777" w:rsidR="001655AC" w:rsidRPr="00413148" w:rsidRDefault="001655AC" w:rsidP="008A0C83">
      <w:pPr>
        <w:pStyle w:val="FootnoteText"/>
        <w:ind w:left="0"/>
      </w:pPr>
      <w:r w:rsidRPr="00413148">
        <w:rPr>
          <w:rStyle w:val="FootnoteReference"/>
        </w:rPr>
        <w:footnoteRef/>
      </w:r>
      <w:r w:rsidRPr="00413148">
        <w:t xml:space="preserve"> </w:t>
      </w:r>
      <w:r w:rsidRPr="000113C8">
        <w:rPr>
          <w:i/>
          <w:iCs/>
        </w:rPr>
        <w:t>See, e.g.</w:t>
      </w:r>
      <w:r w:rsidRPr="00413148">
        <w:rPr>
          <w:iCs/>
        </w:rPr>
        <w:t>,</w:t>
      </w:r>
      <w:r w:rsidRPr="00413148">
        <w:t xml:space="preserve"> </w:t>
      </w:r>
      <w:r w:rsidRPr="000113C8">
        <w:rPr>
          <w:i/>
          <w:iCs/>
        </w:rPr>
        <w:t>Albunio v. City of N.Y.</w:t>
      </w:r>
      <w:r w:rsidRPr="00413148">
        <w:t>, 16 N.Y.3d 472 (2011).</w:t>
      </w:r>
    </w:p>
  </w:footnote>
  <w:footnote w:id="205">
    <w:p w14:paraId="0DC2681B" w14:textId="77777777" w:rsidR="001655AC" w:rsidRPr="00413148" w:rsidRDefault="001655AC" w:rsidP="008A0C83">
      <w:pPr>
        <w:pStyle w:val="FootnoteText"/>
        <w:ind w:left="0"/>
        <w:rPr>
          <w:i/>
        </w:rPr>
      </w:pPr>
      <w:r w:rsidRPr="00413148">
        <w:rPr>
          <w:rStyle w:val="FootnoteReference"/>
        </w:rPr>
        <w:footnoteRef/>
      </w:r>
      <w:r w:rsidRPr="00413148">
        <w:t xml:space="preserve"> N.Y.C. Admin. Code § 8-107(7).</w:t>
      </w:r>
    </w:p>
  </w:footnote>
  <w:footnote w:id="206">
    <w:p w14:paraId="76209DAF" w14:textId="77777777" w:rsidR="001655AC" w:rsidRPr="00413148" w:rsidRDefault="001655AC" w:rsidP="008A0C83">
      <w:pPr>
        <w:pStyle w:val="FootnoteText"/>
        <w:ind w:left="0"/>
      </w:pPr>
      <w:r w:rsidRPr="00413148">
        <w:rPr>
          <w:rStyle w:val="FootnoteReference"/>
        </w:rPr>
        <w:footnoteRef/>
      </w:r>
      <w:r w:rsidRPr="00413148">
        <w:t xml:space="preserve"> </w:t>
      </w:r>
      <w:r w:rsidRPr="00626983">
        <w:rPr>
          <w:i/>
          <w:iCs/>
        </w:rPr>
        <w:t>Id</w:t>
      </w:r>
      <w:r w:rsidRPr="00413148">
        <w:rPr>
          <w:iCs/>
        </w:rPr>
        <w:t>.</w:t>
      </w:r>
    </w:p>
  </w:footnote>
  <w:footnote w:id="207">
    <w:p w14:paraId="5C4E4686" w14:textId="4C391C29" w:rsidR="001655AC" w:rsidRPr="00413148" w:rsidRDefault="001655AC" w:rsidP="008A0C83">
      <w:pPr>
        <w:pStyle w:val="FootnoteText"/>
        <w:ind w:left="0"/>
      </w:pPr>
      <w:r w:rsidRPr="00413148">
        <w:rPr>
          <w:rStyle w:val="FootnoteReference"/>
        </w:rPr>
        <w:footnoteRef/>
      </w:r>
      <w:r w:rsidRPr="00413148">
        <w:t xml:space="preserve"> </w:t>
      </w:r>
      <w:r w:rsidR="008D27D5" w:rsidRPr="00413148">
        <w:rPr>
          <w:i/>
          <w:iCs/>
        </w:rPr>
        <w:t>Id.</w:t>
      </w:r>
      <w:r w:rsidRPr="00413148">
        <w:t xml:space="preserve"> § 8-107(15)(a).</w:t>
      </w:r>
    </w:p>
  </w:footnote>
  <w:footnote w:id="208">
    <w:p w14:paraId="41F45793" w14:textId="4589E8DE" w:rsidR="001655AC" w:rsidRPr="00413148" w:rsidRDefault="001655AC" w:rsidP="008A0C83">
      <w:pPr>
        <w:pStyle w:val="FootnoteText"/>
        <w:ind w:left="0"/>
      </w:pPr>
      <w:r w:rsidRPr="00413148">
        <w:rPr>
          <w:rStyle w:val="FootnoteReference"/>
        </w:rPr>
        <w:footnoteRef/>
      </w:r>
      <w:r w:rsidRPr="00413148">
        <w:t xml:space="preserve"> </w:t>
      </w:r>
      <w:r w:rsidRPr="00626983">
        <w:rPr>
          <w:i/>
          <w:iCs/>
        </w:rPr>
        <w:t xml:space="preserve">See </w:t>
      </w:r>
      <w:r w:rsidR="00D90041" w:rsidRPr="00626983">
        <w:rPr>
          <w:i/>
          <w:iCs/>
        </w:rPr>
        <w:t>Piligian v. Icahn School of Medicine at Mo</w:t>
      </w:r>
      <w:r w:rsidR="00250A43" w:rsidRPr="00626983">
        <w:rPr>
          <w:i/>
          <w:iCs/>
        </w:rPr>
        <w:t>unt Sinai</w:t>
      </w:r>
      <w:r w:rsidR="00250A43" w:rsidRPr="00413148">
        <w:t xml:space="preserve">, </w:t>
      </w:r>
      <w:r w:rsidR="000948BE" w:rsidRPr="00413148">
        <w:t>490 F.</w:t>
      </w:r>
      <w:r w:rsidR="000355D4" w:rsidRPr="00413148">
        <w:t xml:space="preserve"> </w:t>
      </w:r>
      <w:r w:rsidR="000948BE" w:rsidRPr="00413148">
        <w:t>Supp.</w:t>
      </w:r>
      <w:r w:rsidR="000355D4" w:rsidRPr="00413148">
        <w:t xml:space="preserve"> </w:t>
      </w:r>
      <w:r w:rsidR="000948BE" w:rsidRPr="00413148">
        <w:t xml:space="preserve">3d 707, </w:t>
      </w:r>
      <w:r w:rsidR="00F90545" w:rsidRPr="00413148">
        <w:t>722-23 (</w:t>
      </w:r>
      <w:r w:rsidR="004D7F21" w:rsidRPr="00413148">
        <w:t>S</w:t>
      </w:r>
      <w:r w:rsidR="00135A9D" w:rsidRPr="00413148">
        <w:t>.</w:t>
      </w:r>
      <w:r w:rsidR="004D7F21" w:rsidRPr="00413148">
        <w:t>D</w:t>
      </w:r>
      <w:r w:rsidR="00135A9D" w:rsidRPr="00413148">
        <w:t>.N.Y. 2020</w:t>
      </w:r>
      <w:r w:rsidRPr="00413148">
        <w:t>).</w:t>
      </w:r>
    </w:p>
  </w:footnote>
  <w:footnote w:id="209">
    <w:p w14:paraId="55D07486" w14:textId="77777777" w:rsidR="001655AC" w:rsidRPr="00413148" w:rsidRDefault="001655AC" w:rsidP="00C32779">
      <w:pPr>
        <w:pStyle w:val="FootnoteText"/>
        <w:ind w:left="0"/>
      </w:pPr>
      <w:r w:rsidRPr="00413148">
        <w:rPr>
          <w:rStyle w:val="FootnoteReference"/>
        </w:rPr>
        <w:footnoteRef/>
      </w:r>
      <w:r w:rsidRPr="00413148">
        <w:rPr>
          <w:sz w:val="24"/>
        </w:rPr>
        <w:t xml:space="preserve"> </w:t>
      </w:r>
      <w:r w:rsidRPr="00413148">
        <w:t>N.Y.C. Admin. Code § 8-107(20).</w:t>
      </w:r>
    </w:p>
  </w:footnote>
  <w:footnote w:id="210">
    <w:p w14:paraId="39131584" w14:textId="5206D5E8" w:rsidR="001655AC" w:rsidRPr="00413148" w:rsidRDefault="001655AC" w:rsidP="00C32779">
      <w:pPr>
        <w:pStyle w:val="FootnoteText"/>
        <w:ind w:left="0"/>
      </w:pPr>
      <w:r w:rsidRPr="00413148">
        <w:rPr>
          <w:rStyle w:val="FootnoteReference"/>
        </w:rPr>
        <w:footnoteRef/>
      </w:r>
      <w:r w:rsidRPr="00413148">
        <w:t xml:space="preserve"> </w:t>
      </w:r>
      <w:r w:rsidR="00302DD7" w:rsidRPr="00413148">
        <w:rPr>
          <w:i/>
          <w:iCs/>
        </w:rPr>
        <w:t>Id.</w:t>
      </w:r>
      <w:r w:rsidRPr="00413148">
        <w:t xml:space="preserve"> </w:t>
      </w:r>
      <w:r w:rsidR="00302DD7" w:rsidRPr="00413148">
        <w:rPr>
          <w:i/>
          <w:iCs/>
        </w:rPr>
        <w:t>S</w:t>
      </w:r>
      <w:r w:rsidRPr="00413148">
        <w:rPr>
          <w:i/>
          <w:iCs/>
        </w:rPr>
        <w:t>ee</w:t>
      </w:r>
      <w:r w:rsidRPr="00413148">
        <w:t xml:space="preserve"> </w:t>
      </w:r>
      <w:r w:rsidRPr="00413148">
        <w:rPr>
          <w:i/>
          <w:iCs/>
        </w:rPr>
        <w:t>Bartman v. Shenker</w:t>
      </w:r>
      <w:r w:rsidRPr="00413148">
        <w:t xml:space="preserve">, 5 Misc. 3d 856, 860 (Sup. Ct. N.Y. </w:t>
      </w:r>
      <w:proofErr w:type="spellStart"/>
      <w:r w:rsidRPr="00413148">
        <w:t>C</w:t>
      </w:r>
      <w:r w:rsidR="00302DD7" w:rsidRPr="00413148">
        <w:t>n</w:t>
      </w:r>
      <w:r w:rsidRPr="00413148">
        <w:t>ty</w:t>
      </w:r>
      <w:proofErr w:type="spellEnd"/>
      <w:r w:rsidRPr="00413148">
        <w:t xml:space="preserve">. 2004); </w:t>
      </w:r>
      <w:r w:rsidRPr="00413148">
        <w:rPr>
          <w:i/>
          <w:iCs/>
        </w:rPr>
        <w:t>Jing Zhang v. Jenzabar, Inc.</w:t>
      </w:r>
      <w:r w:rsidRPr="00413148">
        <w:t>, No. 12 Civ. 2988, 2015 WL 1475793, at *12 (E.D.N.Y. Mar. 30, 2015) (“To maintain a claim for association discrimination, [plaintiff] must simply allege that it suffered an independent injury because of its relationship with [a person] who alleges unlawful discriminatory practices related to her terms, conditions, or privileges of employment.”).</w:t>
      </w:r>
    </w:p>
  </w:footnote>
  <w:footnote w:id="211">
    <w:p w14:paraId="2C2D44D1" w14:textId="3209B8C9" w:rsidR="001655AC" w:rsidRPr="00413148" w:rsidRDefault="001655AC" w:rsidP="00DD5216">
      <w:pPr>
        <w:pStyle w:val="FootnoteText"/>
        <w:ind w:left="0"/>
      </w:pPr>
      <w:r w:rsidRPr="00413148">
        <w:rPr>
          <w:rStyle w:val="FootnoteReference"/>
        </w:rPr>
        <w:footnoteRef/>
      </w:r>
      <w:r w:rsidRPr="00413148">
        <w:t xml:space="preserve"> </w:t>
      </w:r>
      <w:r w:rsidRPr="00626983">
        <w:rPr>
          <w:i/>
          <w:iCs/>
        </w:rPr>
        <w:t xml:space="preserve">See In re Comm’n on Human Rights ex rel. </w:t>
      </w:r>
      <w:proofErr w:type="gramStart"/>
      <w:r w:rsidRPr="00626983">
        <w:rPr>
          <w:i/>
          <w:iCs/>
        </w:rPr>
        <w:t>Blue</w:t>
      </w:r>
      <w:proofErr w:type="gramEnd"/>
      <w:r w:rsidRPr="00626983">
        <w:rPr>
          <w:i/>
          <w:iCs/>
        </w:rPr>
        <w:t xml:space="preserve"> v. Jovic</w:t>
      </w:r>
      <w:r w:rsidRPr="00413148">
        <w:t>, 2017 WL 2491797, at *9.</w:t>
      </w:r>
    </w:p>
  </w:footnote>
  <w:footnote w:id="212">
    <w:p w14:paraId="5FB5D3ED" w14:textId="734B89DB" w:rsidR="001655AC" w:rsidRPr="00413148" w:rsidRDefault="001655AC" w:rsidP="00DD5216">
      <w:pPr>
        <w:pStyle w:val="FootnoteText"/>
        <w:ind w:left="0"/>
        <w:rPr>
          <w:i/>
          <w:iCs/>
        </w:rPr>
      </w:pPr>
      <w:r w:rsidRPr="00413148">
        <w:rPr>
          <w:rStyle w:val="FootnoteReference"/>
        </w:rPr>
        <w:footnoteRef/>
      </w:r>
      <w:r w:rsidRPr="00413148">
        <w:t xml:space="preserve"> </w:t>
      </w:r>
      <w:r w:rsidRPr="00413148">
        <w:rPr>
          <w:i/>
          <w:iCs/>
        </w:rPr>
        <w:t>Id.</w:t>
      </w:r>
      <w:r w:rsidRPr="00413148">
        <w:t xml:space="preserve"> </w:t>
      </w:r>
      <w:r w:rsidR="009C06CF" w:rsidRPr="00413148">
        <w:rPr>
          <w:i/>
          <w:iCs/>
        </w:rPr>
        <w:t>S</w:t>
      </w:r>
      <w:r w:rsidRPr="00413148">
        <w:rPr>
          <w:i/>
          <w:iCs/>
        </w:rPr>
        <w:t>ee Manon v. 878 Educ., LLC</w:t>
      </w:r>
      <w:r w:rsidRPr="00413148">
        <w:t xml:space="preserve">, No. 13 Civ. 3476, </w:t>
      </w:r>
      <w:bookmarkStart w:id="47" w:name="_Hlk193382163"/>
      <w:r w:rsidRPr="00413148">
        <w:t>2015 WL 997725</w:t>
      </w:r>
      <w:bookmarkEnd w:id="47"/>
      <w:r w:rsidRPr="00413148">
        <w:t>, at *6 (S.D.N.Y. Mar. 4, 2015) (holding that a complainant need not establish that but for her association with a person with a disability, the adverse action would not have occurred; rather, the NYCHRL standard for associational disability discrimination is far less onerous; a complainant need only point to a medical impairment and establish that discrimination was a motivating factor in the adverse action).</w:t>
      </w:r>
    </w:p>
  </w:footnote>
  <w:footnote w:id="213">
    <w:p w14:paraId="5D90084F" w14:textId="6D787D7B" w:rsidR="001655AC" w:rsidRPr="00413148" w:rsidRDefault="001655AC" w:rsidP="00DD5216">
      <w:pPr>
        <w:pStyle w:val="FootnoteText"/>
        <w:ind w:left="0"/>
      </w:pPr>
      <w:r w:rsidRPr="00413148">
        <w:rPr>
          <w:rStyle w:val="FootnoteReference"/>
        </w:rPr>
        <w:footnoteRef/>
      </w:r>
      <w:r w:rsidRPr="00413148">
        <w:t xml:space="preserve"> </w:t>
      </w:r>
      <w:r w:rsidR="00EA1AB7" w:rsidRPr="00413148">
        <w:rPr>
          <w:i/>
          <w:iCs/>
        </w:rPr>
        <w:t>See</w:t>
      </w:r>
      <w:r w:rsidR="00EA1AB7" w:rsidRPr="00413148">
        <w:t xml:space="preserve">, </w:t>
      </w:r>
      <w:r w:rsidR="00EA1AB7" w:rsidRPr="00413148">
        <w:rPr>
          <w:i/>
          <w:iCs/>
        </w:rPr>
        <w:t>e.g.</w:t>
      </w:r>
      <w:r w:rsidR="00EA1AB7" w:rsidRPr="00413148">
        <w:t xml:space="preserve">, </w:t>
      </w:r>
      <w:r w:rsidRPr="00413148">
        <w:rPr>
          <w:i/>
          <w:iCs/>
        </w:rPr>
        <w:t>In re Comm’n on Human Rights ex rel. Blue v. Jovic</w:t>
      </w:r>
      <w:r w:rsidRPr="00413148">
        <w:t xml:space="preserve">, 2017 WL 2491797, at *10; </w:t>
      </w:r>
      <w:r w:rsidRPr="00413148">
        <w:rPr>
          <w:i/>
          <w:iCs/>
        </w:rPr>
        <w:t>In re Comm’n on Human Rights ex rel. Torres v. Prince Mgmt. Corp.</w:t>
      </w:r>
      <w:r w:rsidRPr="00413148">
        <w:t xml:space="preserve">, OATH Index No. 301/98, </w:t>
      </w:r>
      <w:r w:rsidR="008F28A0" w:rsidRPr="00413148">
        <w:t xml:space="preserve">OATH </w:t>
      </w:r>
      <w:r w:rsidRPr="00413148">
        <w:t>R</w:t>
      </w:r>
      <w:r w:rsidR="008F28A0" w:rsidRPr="00413148">
        <w:t>ep</w:t>
      </w:r>
      <w:r w:rsidR="00F8632E" w:rsidRPr="00413148">
        <w:t>ort</w:t>
      </w:r>
      <w:r w:rsidR="008F28A0" w:rsidRPr="00413148">
        <w:t xml:space="preserve"> </w:t>
      </w:r>
      <w:r w:rsidRPr="00413148">
        <w:t>&amp;</w:t>
      </w:r>
      <w:r w:rsidR="008F28A0" w:rsidRPr="00413148">
        <w:t xml:space="preserve"> </w:t>
      </w:r>
      <w:r w:rsidRPr="00413148">
        <w:t>R</w:t>
      </w:r>
      <w:r w:rsidR="008F28A0" w:rsidRPr="00413148">
        <w:t>ec</w:t>
      </w:r>
      <w:r w:rsidR="00F8632E" w:rsidRPr="00413148">
        <w:t>ommendation</w:t>
      </w:r>
      <w:r w:rsidRPr="00413148">
        <w:t>, 1997 WL 1129224</w:t>
      </w:r>
      <w:r w:rsidR="009D6D8B" w:rsidRPr="00413148">
        <w:t>, at *6</w:t>
      </w:r>
      <w:r w:rsidRPr="00413148">
        <w:t xml:space="preserve"> (Aug. 14, 1997), </w:t>
      </w:r>
      <w:r w:rsidRPr="00413148">
        <w:rPr>
          <w:i/>
          <w:iCs/>
        </w:rPr>
        <w:t>adopted</w:t>
      </w:r>
      <w:r w:rsidR="0085251E" w:rsidRPr="00413148">
        <w:rPr>
          <w:i/>
          <w:iCs/>
        </w:rPr>
        <w:t xml:space="preserve"> by</w:t>
      </w:r>
      <w:r w:rsidRPr="00413148">
        <w:t xml:space="preserve">, </w:t>
      </w:r>
      <w:r w:rsidR="00B3549D" w:rsidRPr="00413148">
        <w:t xml:space="preserve">Comm’n </w:t>
      </w:r>
      <w:r w:rsidRPr="00413148">
        <w:t>Dec. &amp; Order, 1997 WL 34613064 (Oct. 27, 1997) (</w:t>
      </w:r>
      <w:r w:rsidR="0085251E" w:rsidRPr="00413148">
        <w:t xml:space="preserve">awarding damages to </w:t>
      </w:r>
      <w:r w:rsidRPr="00413148">
        <w:t>mother for independent injury arising from failure to accommodate children with disabilities);</w:t>
      </w:r>
      <w:r w:rsidRPr="00413148">
        <w:rPr>
          <w:i/>
          <w:iCs/>
        </w:rPr>
        <w:t xml:space="preserve"> accord</w:t>
      </w:r>
      <w:r w:rsidRPr="00413148">
        <w:t xml:space="preserve"> </w:t>
      </w:r>
      <w:r w:rsidRPr="00413148">
        <w:rPr>
          <w:i/>
          <w:iCs/>
        </w:rPr>
        <w:t>Loeffler v. Staten Island Univ. Hosp.</w:t>
      </w:r>
      <w:r w:rsidRPr="00413148">
        <w:t>, 582 F.3d 268, 278 (2d Cir. 2009) (reinstating NYCHRL claim of children who suffered a direct, independent injury because of the need to provide sign-language interpretation services to their parent with disabilities when hospital failed to provide reasonable accommodation). “A claim of associational discrimination under § 8-107(20) of the NYCHRL based on a failure to provide a reasonable accommodation is essentially the same as a claim for failure to accommodate under § 8-107(15) .</w:t>
      </w:r>
      <w:r w:rsidR="00930BBF" w:rsidRPr="00413148">
        <w:t xml:space="preserve"> </w:t>
      </w:r>
      <w:r w:rsidRPr="00413148">
        <w:t>.</w:t>
      </w:r>
      <w:r w:rsidR="00930BBF" w:rsidRPr="00413148">
        <w:t xml:space="preserve"> </w:t>
      </w:r>
      <w:r w:rsidRPr="00413148">
        <w:t xml:space="preserve">.” </w:t>
      </w:r>
      <w:r w:rsidRPr="00413148">
        <w:rPr>
          <w:i/>
          <w:iCs/>
        </w:rPr>
        <w:t xml:space="preserve">In re Comm’n on Human Rights ex rel. </w:t>
      </w:r>
      <w:proofErr w:type="gramStart"/>
      <w:r w:rsidRPr="00413148">
        <w:rPr>
          <w:i/>
          <w:iCs/>
        </w:rPr>
        <w:t>Blue</w:t>
      </w:r>
      <w:proofErr w:type="gramEnd"/>
      <w:r w:rsidRPr="00413148">
        <w:rPr>
          <w:i/>
          <w:iCs/>
        </w:rPr>
        <w:t xml:space="preserve"> v. Jovic</w:t>
      </w:r>
      <w:r w:rsidRPr="00413148">
        <w:t>, 2017 WL 2491797, at *10.</w:t>
      </w:r>
    </w:p>
  </w:footnote>
  <w:footnote w:id="214">
    <w:p w14:paraId="799B9709" w14:textId="7B776E4A" w:rsidR="001655AC" w:rsidRPr="00413148" w:rsidRDefault="001655AC" w:rsidP="00DD5216">
      <w:pPr>
        <w:pStyle w:val="FootnoteText"/>
        <w:ind w:left="0"/>
      </w:pPr>
      <w:r w:rsidRPr="00413148">
        <w:rPr>
          <w:rStyle w:val="FootnoteReference"/>
        </w:rPr>
        <w:footnoteRef/>
      </w:r>
      <w:r w:rsidRPr="00413148">
        <w:t xml:space="preserve"> </w:t>
      </w:r>
      <w:r w:rsidRPr="00626983">
        <w:rPr>
          <w:i/>
          <w:iCs/>
        </w:rPr>
        <w:t xml:space="preserve">See In re Comm’n on Human Rights ex rel. </w:t>
      </w:r>
      <w:proofErr w:type="gramStart"/>
      <w:r w:rsidRPr="00626983">
        <w:rPr>
          <w:i/>
          <w:iCs/>
        </w:rPr>
        <w:t>Blue</w:t>
      </w:r>
      <w:proofErr w:type="gramEnd"/>
      <w:r w:rsidRPr="00626983">
        <w:rPr>
          <w:i/>
          <w:iCs/>
        </w:rPr>
        <w:t xml:space="preserve"> v. Jovic</w:t>
      </w:r>
      <w:r w:rsidRPr="00413148">
        <w:t>, 2017 WL 2491797, at *10.</w:t>
      </w:r>
    </w:p>
  </w:footnote>
  <w:footnote w:id="215">
    <w:p w14:paraId="60FE3A64" w14:textId="5E43D71C" w:rsidR="001655AC" w:rsidRPr="00413148" w:rsidRDefault="001655AC" w:rsidP="00DD5216">
      <w:pPr>
        <w:pStyle w:val="FootnoteText"/>
        <w:ind w:left="0"/>
        <w:rPr>
          <w:i/>
          <w:iCs/>
        </w:rPr>
      </w:pPr>
      <w:r w:rsidRPr="00413148">
        <w:rPr>
          <w:rStyle w:val="FootnoteReference"/>
        </w:rPr>
        <w:footnoteRef/>
      </w:r>
      <w:r w:rsidRPr="00413148">
        <w:t xml:space="preserve"> </w:t>
      </w:r>
      <w:r w:rsidRPr="00413148">
        <w:rPr>
          <w:i/>
          <w:iCs/>
        </w:rPr>
        <w:t>See id.</w:t>
      </w:r>
      <w:r w:rsidRPr="00413148">
        <w:t xml:space="preserve"> </w:t>
      </w:r>
      <w:r w:rsidR="00EA1AB7" w:rsidRPr="00413148">
        <w:rPr>
          <w:i/>
          <w:iCs/>
        </w:rPr>
        <w:t>See also</w:t>
      </w:r>
      <w:r w:rsidR="00EA1AB7" w:rsidRPr="00413148">
        <w:t xml:space="preserve"> </w:t>
      </w:r>
      <w:r w:rsidRPr="00413148">
        <w:rPr>
          <w:i/>
          <w:iCs/>
        </w:rPr>
        <w:t xml:space="preserve">Nieblas-Love v. N.Y.C. </w:t>
      </w:r>
      <w:proofErr w:type="spellStart"/>
      <w:r w:rsidRPr="00413148">
        <w:rPr>
          <w:i/>
          <w:iCs/>
        </w:rPr>
        <w:t>Hous</w:t>
      </w:r>
      <w:proofErr w:type="spellEnd"/>
      <w:r w:rsidRPr="00413148">
        <w:rPr>
          <w:i/>
          <w:iCs/>
        </w:rPr>
        <w:t>. Auth.</w:t>
      </w:r>
      <w:r w:rsidRPr="00413148">
        <w:t>, 165 F. Supp. 3d 51 (S.D.N.Y. 2016) (discussing failure to provide reasonable accommodation in the employment context).</w:t>
      </w:r>
    </w:p>
  </w:footnote>
  <w:footnote w:id="216">
    <w:p w14:paraId="1412ED91" w14:textId="488619EB" w:rsidR="001655AC" w:rsidRPr="00413148" w:rsidRDefault="001655AC" w:rsidP="00DD5216">
      <w:pPr>
        <w:pStyle w:val="FootnoteText"/>
        <w:ind w:left="0"/>
      </w:pPr>
      <w:r w:rsidRPr="00413148">
        <w:rPr>
          <w:rStyle w:val="FootnoteReference"/>
        </w:rPr>
        <w:footnoteRef/>
      </w:r>
      <w:r w:rsidRPr="00413148">
        <w:t xml:space="preserve"> </w:t>
      </w:r>
      <w:r w:rsidRPr="00B07E69">
        <w:rPr>
          <w:i/>
          <w:iCs/>
        </w:rPr>
        <w:t xml:space="preserve">In re Comm’n on Human Rights ex rel. </w:t>
      </w:r>
      <w:proofErr w:type="gramStart"/>
      <w:r w:rsidRPr="00B07E69">
        <w:rPr>
          <w:i/>
          <w:iCs/>
        </w:rPr>
        <w:t>Blue</w:t>
      </w:r>
      <w:proofErr w:type="gramEnd"/>
      <w:r w:rsidRPr="00B07E69">
        <w:rPr>
          <w:i/>
          <w:iCs/>
        </w:rPr>
        <w:t xml:space="preserve"> v. Jovic</w:t>
      </w:r>
      <w:r w:rsidRPr="00413148">
        <w:t>, 2017 WL 2491797, at *11.</w:t>
      </w:r>
    </w:p>
  </w:footnote>
  <w:footnote w:id="217">
    <w:p w14:paraId="353081FC" w14:textId="175362B3" w:rsidR="00596827" w:rsidRDefault="00596827" w:rsidP="00F21E5D">
      <w:pPr>
        <w:pStyle w:val="FootnoteText"/>
        <w:ind w:left="0"/>
        <w:rPr>
          <w:lang w:val="fr-FR"/>
        </w:rPr>
      </w:pPr>
      <w:r w:rsidRPr="00413148">
        <w:rPr>
          <w:rStyle w:val="FootnoteReference"/>
        </w:rPr>
        <w:footnoteRef/>
      </w:r>
      <w:r w:rsidRPr="00413148">
        <w:t xml:space="preserve"> N.Y.C. Admin. Code §§ 8-602–8-604.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400"/>
      <w:gridCol w:w="1220"/>
      <w:gridCol w:w="3310"/>
    </w:tblGrid>
    <w:tr w:rsidR="699C77FD" w:rsidRPr="00413148" w14:paraId="267E9ED1" w14:textId="77777777" w:rsidTr="008A756C">
      <w:trPr>
        <w:trHeight w:val="300"/>
      </w:trPr>
      <w:tc>
        <w:tcPr>
          <w:tcW w:w="5400" w:type="dxa"/>
        </w:tcPr>
        <w:p w14:paraId="38A14DAC" w14:textId="7B1B8CB5" w:rsidR="001C0B70" w:rsidRPr="00413148" w:rsidRDefault="001C0B70" w:rsidP="000C4738">
          <w:pPr>
            <w:pStyle w:val="Header"/>
            <w:ind w:left="-115"/>
          </w:pPr>
        </w:p>
      </w:tc>
      <w:tc>
        <w:tcPr>
          <w:tcW w:w="1220" w:type="dxa"/>
        </w:tcPr>
        <w:p w14:paraId="1F2D8B17" w14:textId="77777777" w:rsidR="699C77FD" w:rsidRPr="00413148" w:rsidRDefault="699C77FD" w:rsidP="000C4738">
          <w:pPr>
            <w:pStyle w:val="Header"/>
            <w:jc w:val="center"/>
          </w:pPr>
        </w:p>
      </w:tc>
      <w:tc>
        <w:tcPr>
          <w:tcW w:w="3310" w:type="dxa"/>
        </w:tcPr>
        <w:p w14:paraId="313DAF66" w14:textId="77777777" w:rsidR="699C77FD" w:rsidRPr="00413148" w:rsidRDefault="699C77FD" w:rsidP="000C4738">
          <w:pPr>
            <w:pStyle w:val="Header"/>
            <w:ind w:right="-115"/>
            <w:jc w:val="right"/>
          </w:pPr>
        </w:p>
      </w:tc>
    </w:tr>
  </w:tbl>
  <w:p w14:paraId="629F8BB2" w14:textId="77777777" w:rsidR="699C77FD" w:rsidRPr="00413148" w:rsidRDefault="699C77FD" w:rsidP="000C47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628"/>
    <w:multiLevelType w:val="hybridMultilevel"/>
    <w:tmpl w:val="CA720F70"/>
    <w:lvl w:ilvl="0" w:tplc="04090013">
      <w:start w:val="1"/>
      <w:numFmt w:val="upperRoman"/>
      <w:lvlText w:val="%1."/>
      <w:lvlJc w:val="right"/>
      <w:pPr>
        <w:ind w:left="810" w:hanging="360"/>
      </w:pPr>
      <w:rPr>
        <w:rFonts w:hint="default"/>
        <w:b/>
        <w:bCs/>
        <w:i w:val="0"/>
        <w:color w:val="4B0082"/>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 w15:restartNumberingAfterBreak="0">
    <w:nsid w:val="039529C5"/>
    <w:multiLevelType w:val="hybridMultilevel"/>
    <w:tmpl w:val="02EEA2F2"/>
    <w:lvl w:ilvl="0" w:tplc="0409001B">
      <w:start w:val="1"/>
      <w:numFmt w:val="lowerRoman"/>
      <w:lvlText w:val="%1."/>
      <w:lvlJc w:val="right"/>
      <w:pPr>
        <w:ind w:left="540" w:hanging="360"/>
      </w:pPr>
      <w:rPr>
        <w:rFonts w:hint="default"/>
        <w:b/>
        <w:bCs/>
        <w:i w:val="0"/>
        <w:color w:val="4B008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3A51278"/>
    <w:multiLevelType w:val="hybridMultilevel"/>
    <w:tmpl w:val="94D676BC"/>
    <w:lvl w:ilvl="0" w:tplc="35C6745E">
      <w:start w:val="4"/>
      <w:numFmt w:val="lowerRoman"/>
      <w:lvlText w:val="%1."/>
      <w:lvlJc w:val="right"/>
      <w:pPr>
        <w:ind w:left="1080" w:hanging="720"/>
      </w:pPr>
      <w:rPr>
        <w:rFonts w:ascii="Arial" w:hAnsi="Arial" w:hint="default"/>
        <w:b/>
        <w:bCs/>
        <w:i w:val="0"/>
        <w:color w:val="4B008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642ED"/>
    <w:multiLevelType w:val="hybridMultilevel"/>
    <w:tmpl w:val="54000F84"/>
    <w:lvl w:ilvl="0" w:tplc="8190062E">
      <w:start w:val="1"/>
      <w:numFmt w:val="lowerRoman"/>
      <w:lvlText w:val="%1."/>
      <w:lvlJc w:val="right"/>
      <w:pPr>
        <w:ind w:left="1080" w:hanging="720"/>
      </w:pPr>
      <w:rPr>
        <w:rFonts w:ascii="Arial" w:hAnsi="Arial" w:hint="default"/>
        <w:b/>
        <w:bCs/>
        <w:i w:val="0"/>
        <w:iCs w:val="0"/>
        <w:sz w:val="32"/>
        <w:szCs w:val="36"/>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 w15:restartNumberingAfterBreak="0">
    <w:nsid w:val="11AC1A7F"/>
    <w:multiLevelType w:val="hybridMultilevel"/>
    <w:tmpl w:val="10B2F328"/>
    <w:lvl w:ilvl="0" w:tplc="F47CE1D4">
      <w:start w:val="2"/>
      <w:numFmt w:val="upperLetter"/>
      <w:lvlText w:val="%1."/>
      <w:lvlJc w:val="left"/>
      <w:pPr>
        <w:ind w:left="720" w:hanging="360"/>
      </w:pPr>
      <w:rPr>
        <w:rFonts w:ascii="Arial" w:hAnsi="Arial" w:hint="default"/>
        <w:b/>
        <w:i w:val="0"/>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52754E"/>
    <w:multiLevelType w:val="multilevel"/>
    <w:tmpl w:val="62E44656"/>
    <w:styleLink w:val="CurrentList3"/>
    <w:lvl w:ilvl="0">
      <w:start w:val="1"/>
      <w:numFmt w:val="lowerRoman"/>
      <w:lvlText w:val="%1."/>
      <w:lvlJc w:val="right"/>
      <w:pPr>
        <w:ind w:left="720" w:hanging="360"/>
      </w:pPr>
      <w:rPr>
        <w:rFonts w:ascii="Arial" w:hAnsi="Arial" w:hint="default"/>
        <w:b/>
        <w:bCs/>
        <w:i w:val="0"/>
        <w:sz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E6418C"/>
    <w:multiLevelType w:val="hybridMultilevel"/>
    <w:tmpl w:val="CD248FA8"/>
    <w:lvl w:ilvl="0" w:tplc="753889EE">
      <w:start w:val="1"/>
      <w:numFmt w:val="bullet"/>
      <w:lvlText w:val=""/>
      <w:lvlJc w:val="left"/>
      <w:pPr>
        <w:ind w:left="720" w:hanging="360"/>
      </w:pPr>
      <w:rPr>
        <w:rFonts w:ascii="Symbol" w:hAnsi="Symbol" w:hint="default"/>
        <w:color w:val="4B008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0F2706"/>
    <w:multiLevelType w:val="hybridMultilevel"/>
    <w:tmpl w:val="7996DFFC"/>
    <w:lvl w:ilvl="0" w:tplc="9C34DDD8">
      <w:start w:val="2"/>
      <w:numFmt w:val="lowerRoman"/>
      <w:lvlText w:val="%1."/>
      <w:lvlJc w:val="left"/>
      <w:pPr>
        <w:ind w:left="1080" w:hanging="720"/>
      </w:pPr>
      <w:rPr>
        <w:rFonts w:ascii="Arial" w:hAnsi="Arial" w:hint="default"/>
        <w:sz w:val="32"/>
        <w:szCs w:val="36"/>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152C766E"/>
    <w:multiLevelType w:val="hybridMultilevel"/>
    <w:tmpl w:val="891ED428"/>
    <w:lvl w:ilvl="0" w:tplc="471ED68E">
      <w:start w:val="4"/>
      <w:numFmt w:val="lowerLetter"/>
      <w:lvlText w:val="%1."/>
      <w:lvlJc w:val="left"/>
      <w:pPr>
        <w:ind w:left="16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390C28"/>
    <w:multiLevelType w:val="hybridMultilevel"/>
    <w:tmpl w:val="F146B0A4"/>
    <w:lvl w:ilvl="0" w:tplc="38300B10">
      <w:start w:val="1"/>
      <w:numFmt w:val="lowerLetter"/>
      <w:lvlText w:val="%1."/>
      <w:lvlJc w:val="left"/>
      <w:pPr>
        <w:ind w:left="1170" w:hanging="360"/>
      </w:pPr>
      <w:rPr>
        <w:rFonts w:hint="default"/>
        <w:b/>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5538F8"/>
    <w:multiLevelType w:val="multilevel"/>
    <w:tmpl w:val="F0688EE0"/>
    <w:styleLink w:val="CurrentList4"/>
    <w:lvl w:ilvl="0">
      <w:start w:val="1"/>
      <w:numFmt w:val="lowerRoman"/>
      <w:lvlText w:val="%1."/>
      <w:lvlJc w:val="right"/>
      <w:pPr>
        <w:ind w:left="1080" w:hanging="720"/>
      </w:pPr>
      <w:rPr>
        <w:rFonts w:ascii="Arial" w:hAnsi="Arial" w:hint="default"/>
        <w:b/>
        <w:bCs/>
        <w:i w:val="0"/>
        <w:sz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BEF4F00"/>
    <w:multiLevelType w:val="multilevel"/>
    <w:tmpl w:val="CE0C6218"/>
    <w:styleLink w:val="CurrentList5"/>
    <w:lvl w:ilvl="0">
      <w:start w:val="1"/>
      <w:numFmt w:val="lowerRoman"/>
      <w:lvlText w:val="%1."/>
      <w:lvlJc w:val="right"/>
      <w:pPr>
        <w:ind w:left="720" w:hanging="360"/>
      </w:pPr>
      <w:rPr>
        <w:rFonts w:ascii="Arial" w:hAnsi="Arial" w:hint="default"/>
        <w:b/>
        <w:bCs/>
        <w:i w:val="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2" w15:restartNumberingAfterBreak="0">
    <w:nsid w:val="1DA3385F"/>
    <w:multiLevelType w:val="hybridMultilevel"/>
    <w:tmpl w:val="31BC7BFA"/>
    <w:lvl w:ilvl="0" w:tplc="A7CA9BCC">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AD3601"/>
    <w:multiLevelType w:val="hybridMultilevel"/>
    <w:tmpl w:val="429233B6"/>
    <w:lvl w:ilvl="0" w:tplc="6396E9AE">
      <w:start w:val="1"/>
      <w:numFmt w:val="lowerLetter"/>
      <w:lvlText w:val="%1."/>
      <w:lvlJc w:val="left"/>
      <w:pPr>
        <w:ind w:left="720" w:hanging="360"/>
      </w:pPr>
      <w:rPr>
        <w:rFonts w:hint="default"/>
        <w:b/>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267649"/>
    <w:multiLevelType w:val="multilevel"/>
    <w:tmpl w:val="CE2AB520"/>
    <w:styleLink w:val="CurrentList10"/>
    <w:lvl w:ilvl="0">
      <w:start w:val="1"/>
      <w:numFmt w:val="lowerRoman"/>
      <w:lvlText w:val="%1."/>
      <w:lvlJc w:val="right"/>
      <w:pPr>
        <w:ind w:left="720" w:hanging="360"/>
      </w:pPr>
      <w:rPr>
        <w:rFonts w:ascii="Arial" w:hAnsi="Arial" w:hint="default"/>
        <w:b/>
        <w:bCs/>
        <w:i w:val="0"/>
        <w:color w:val="4B0082"/>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5" w15:restartNumberingAfterBreak="0">
    <w:nsid w:val="221A02A3"/>
    <w:multiLevelType w:val="hybridMultilevel"/>
    <w:tmpl w:val="782CBFB2"/>
    <w:lvl w:ilvl="0" w:tplc="9E06E0D6">
      <w:start w:val="2"/>
      <w:numFmt w:val="lowerRoman"/>
      <w:lvlText w:val="%1."/>
      <w:lvlJc w:val="right"/>
      <w:pPr>
        <w:ind w:left="1080" w:hanging="72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6" w15:restartNumberingAfterBreak="0">
    <w:nsid w:val="24051E04"/>
    <w:multiLevelType w:val="hybridMultilevel"/>
    <w:tmpl w:val="B68E108A"/>
    <w:lvl w:ilvl="0" w:tplc="FFB43750">
      <w:start w:val="1"/>
      <w:numFmt w:val="lowerLetter"/>
      <w:lvlText w:val="%1."/>
      <w:lvlJc w:val="left"/>
      <w:pPr>
        <w:ind w:left="720" w:hanging="360"/>
      </w:pPr>
      <w:rPr>
        <w:rFonts w:ascii="Arial" w:hAnsi="Arial" w:hint="default"/>
        <w:b/>
        <w:i w:val="0"/>
        <w:iCs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5D2A3A"/>
    <w:multiLevelType w:val="hybridMultilevel"/>
    <w:tmpl w:val="CFD4AB7E"/>
    <w:lvl w:ilvl="0" w:tplc="E4C29F88">
      <w:start w:val="1"/>
      <w:numFmt w:val="upperLetter"/>
      <w:lvlText w:val="%1."/>
      <w:lvlJc w:val="left"/>
      <w:pPr>
        <w:ind w:left="72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9294FC5"/>
    <w:multiLevelType w:val="hybridMultilevel"/>
    <w:tmpl w:val="9F1C989A"/>
    <w:lvl w:ilvl="0" w:tplc="8AAEC3D2">
      <w:start w:val="3"/>
      <w:numFmt w:val="lowerLetter"/>
      <w:lvlText w:val="%1."/>
      <w:lvlJc w:val="left"/>
      <w:pPr>
        <w:ind w:left="720" w:hanging="360"/>
      </w:pPr>
      <w:rPr>
        <w:rFonts w:hint="default"/>
        <w:b/>
        <w:i w:val="0"/>
        <w:iCs w:val="0"/>
        <w:color w:val="4B008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962503D"/>
    <w:multiLevelType w:val="hybridMultilevel"/>
    <w:tmpl w:val="B8BEEC10"/>
    <w:lvl w:ilvl="0" w:tplc="CB8A2CEE">
      <w:start w:val="1"/>
      <w:numFmt w:val="lowerRoman"/>
      <w:lvlText w:val="%1."/>
      <w:lvlJc w:val="right"/>
      <w:pPr>
        <w:ind w:left="1080" w:hanging="360"/>
      </w:pPr>
      <w:rPr>
        <w:rFonts w:hint="default"/>
        <w:b/>
        <w:bCs/>
        <w:i w:val="0"/>
        <w:color w:val="4B0082"/>
      </w:rPr>
    </w:lvl>
    <w:lvl w:ilvl="1" w:tplc="FFFFFFFF">
      <w:start w:val="1"/>
      <w:numFmt w:val="lowerLetter"/>
      <w:lvlText w:val="%2."/>
      <w:lvlJc w:val="left"/>
      <w:pPr>
        <w:ind w:left="1530" w:hanging="360"/>
      </w:pPr>
      <w:rPr>
        <w:b w:val="0"/>
        <w:bCs/>
      </w:rPr>
    </w:lvl>
    <w:lvl w:ilvl="2" w:tplc="0409001B">
      <w:start w:val="1"/>
      <w:numFmt w:val="lowerRoman"/>
      <w:lvlText w:val="%3."/>
      <w:lvlJc w:val="right"/>
      <w:pPr>
        <w:ind w:left="198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2D1B2535"/>
    <w:multiLevelType w:val="hybridMultilevel"/>
    <w:tmpl w:val="4498EBE8"/>
    <w:lvl w:ilvl="0" w:tplc="8B3CED9E">
      <w:start w:val="1"/>
      <w:numFmt w:val="lowerRoman"/>
      <w:lvlText w:val="%1."/>
      <w:lvlJc w:val="right"/>
      <w:pPr>
        <w:ind w:left="720" w:hanging="270"/>
      </w:pPr>
      <w:rPr>
        <w:rFonts w:hint="default"/>
        <w:i w:val="0"/>
        <w:iCs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607C5C"/>
    <w:multiLevelType w:val="hybridMultilevel"/>
    <w:tmpl w:val="92EC10BA"/>
    <w:lvl w:ilvl="0" w:tplc="1D326C1A">
      <w:start w:val="1"/>
      <w:numFmt w:val="bullet"/>
      <w:lvlText w:val=""/>
      <w:lvlJc w:val="left"/>
      <w:pPr>
        <w:ind w:left="720" w:hanging="360"/>
      </w:pPr>
      <w:rPr>
        <w:rFonts w:ascii="Symbol" w:hAnsi="Symbol" w:hint="default"/>
        <w:color w:val="4B008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5C756F3"/>
    <w:multiLevelType w:val="hybridMultilevel"/>
    <w:tmpl w:val="3ECA513E"/>
    <w:lvl w:ilvl="0" w:tplc="EA148030">
      <w:start w:val="1"/>
      <w:numFmt w:val="lowerRoman"/>
      <w:lvlText w:val="%1."/>
      <w:lvlJc w:val="right"/>
      <w:pPr>
        <w:ind w:left="720" w:hanging="360"/>
      </w:pPr>
      <w:rPr>
        <w:rFonts w:hint="default"/>
        <w:b/>
        <w:bCs/>
        <w:i w:val="0"/>
        <w:color w:val="4B008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112E14"/>
    <w:multiLevelType w:val="hybridMultilevel"/>
    <w:tmpl w:val="878CA168"/>
    <w:lvl w:ilvl="0" w:tplc="B1BAD24C">
      <w:start w:val="1"/>
      <w:numFmt w:val="upperLetter"/>
      <w:lvlText w:val="%1."/>
      <w:lvlJc w:val="left"/>
      <w:pPr>
        <w:ind w:left="1080" w:hanging="720"/>
      </w:pPr>
      <w:rPr>
        <w:rFonts w:ascii="Helvetica Neue" w:hAnsi="Helvetica Neue" w:hint="default"/>
        <w:b/>
        <w:bCs/>
        <w:i w:val="0"/>
        <w:color w:val="4B0082"/>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2E4433"/>
    <w:multiLevelType w:val="hybridMultilevel"/>
    <w:tmpl w:val="15547D18"/>
    <w:lvl w:ilvl="0" w:tplc="A8F40834">
      <w:start w:val="3"/>
      <w:numFmt w:val="lowerRoman"/>
      <w:lvlText w:val="%1."/>
      <w:lvlJc w:val="left"/>
      <w:pPr>
        <w:ind w:left="1080" w:hanging="720"/>
      </w:pPr>
      <w:rPr>
        <w:rFonts w:ascii="Arial" w:hAnsi="Arial" w:hint="default"/>
        <w:sz w:val="32"/>
        <w:szCs w:val="36"/>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5" w15:restartNumberingAfterBreak="0">
    <w:nsid w:val="3A371D94"/>
    <w:multiLevelType w:val="hybridMultilevel"/>
    <w:tmpl w:val="DDDE3B0C"/>
    <w:lvl w:ilvl="0" w:tplc="0908F80E">
      <w:start w:val="1"/>
      <w:numFmt w:val="upperLetter"/>
      <w:lvlText w:val="%1."/>
      <w:lvlJc w:val="left"/>
      <w:pPr>
        <w:ind w:left="720" w:hanging="360"/>
      </w:pPr>
      <w:rPr>
        <w:rFonts w:ascii="Helvetica Neue" w:hAnsi="Helvetica Neue" w:hint="default"/>
        <w:b/>
        <w:bCs/>
        <w:i w:val="0"/>
        <w:color w:val="4B0082"/>
        <w:sz w:val="36"/>
        <w:szCs w:val="36"/>
      </w:rPr>
    </w:lvl>
    <w:lvl w:ilvl="1" w:tplc="04090019">
      <w:start w:val="1"/>
      <w:numFmt w:val="lowerLetter"/>
      <w:lvlText w:val="%2."/>
      <w:lvlJc w:val="left"/>
      <w:pPr>
        <w:ind w:left="990" w:hanging="360"/>
      </w:pPr>
    </w:lvl>
    <w:lvl w:ilvl="2" w:tplc="5900D5EC">
      <w:start w:val="1"/>
      <w:numFmt w:val="lowerRoman"/>
      <w:lvlText w:val="%3."/>
      <w:lvlJc w:val="right"/>
      <w:pPr>
        <w:ind w:left="1440" w:hanging="180"/>
      </w:pPr>
      <w:rPr>
        <w:b/>
        <w:b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9856FA"/>
    <w:multiLevelType w:val="hybridMultilevel"/>
    <w:tmpl w:val="B99E96C2"/>
    <w:lvl w:ilvl="0" w:tplc="D4FA38BE">
      <w:start w:val="1"/>
      <w:numFmt w:val="lowerLetter"/>
      <w:lvlText w:val="%1."/>
      <w:lvlJc w:val="left"/>
      <w:pPr>
        <w:ind w:left="720" w:hanging="360"/>
      </w:pPr>
      <w:rPr>
        <w:rFonts w:hint="default"/>
        <w:b/>
        <w:bCs w:val="0"/>
        <w:i w:val="0"/>
        <w:i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045BED"/>
    <w:multiLevelType w:val="hybridMultilevel"/>
    <w:tmpl w:val="6E5A0B58"/>
    <w:lvl w:ilvl="0" w:tplc="545CDA5C">
      <w:start w:val="1"/>
      <w:numFmt w:val="lowerRoman"/>
      <w:lvlText w:val="%1."/>
      <w:lvlJc w:val="right"/>
      <w:pPr>
        <w:ind w:left="1080" w:hanging="720"/>
      </w:pPr>
      <w:rPr>
        <w:rFonts w:ascii="Arial" w:hAnsi="Arial" w:hint="default"/>
        <w:b/>
        <w:bCs/>
        <w:i w:val="0"/>
        <w:iCs w:val="0"/>
        <w:color w:val="4B008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AD3CAC"/>
    <w:multiLevelType w:val="multilevel"/>
    <w:tmpl w:val="308A9C42"/>
    <w:styleLink w:val="CurrentList7"/>
    <w:lvl w:ilvl="0">
      <w:start w:val="5"/>
      <w:numFmt w:val="lowerRoman"/>
      <w:lvlText w:val="%1."/>
      <w:lvlJc w:val="right"/>
      <w:pPr>
        <w:ind w:left="1080" w:hanging="720"/>
      </w:pPr>
      <w:rPr>
        <w:rFonts w:ascii="Arial" w:hAnsi="Arial" w:hint="default"/>
        <w:b/>
        <w:bCs/>
        <w:i w:val="0"/>
        <w:color w:val="4B008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EC5423E"/>
    <w:multiLevelType w:val="hybridMultilevel"/>
    <w:tmpl w:val="CC428BFA"/>
    <w:lvl w:ilvl="0" w:tplc="BF466F1A">
      <w:start w:val="1"/>
      <w:numFmt w:val="lowerLetter"/>
      <w:lvlText w:val="%1."/>
      <w:lvlJc w:val="left"/>
      <w:pPr>
        <w:ind w:left="720" w:hanging="360"/>
      </w:pPr>
      <w:rPr>
        <w:rFonts w:ascii="Arial" w:hAnsi="Arial" w:hint="default"/>
        <w:b/>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527C60"/>
    <w:multiLevelType w:val="hybridMultilevel"/>
    <w:tmpl w:val="2D72DDF4"/>
    <w:lvl w:ilvl="0" w:tplc="D39CB2FA">
      <w:start w:val="1"/>
      <w:numFmt w:val="lowerLetter"/>
      <w:lvlText w:val="%1."/>
      <w:lvlJc w:val="left"/>
      <w:pPr>
        <w:ind w:left="720" w:hanging="360"/>
      </w:pPr>
      <w:rPr>
        <w:rFonts w:ascii="Arial" w:hAnsi="Arial"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0995CA6"/>
    <w:multiLevelType w:val="hybridMultilevel"/>
    <w:tmpl w:val="799E05E8"/>
    <w:lvl w:ilvl="0" w:tplc="E056C526">
      <w:start w:val="4"/>
      <w:numFmt w:val="upperRoman"/>
      <w:lvlText w:val="%1."/>
      <w:lvlJc w:val="right"/>
      <w:pPr>
        <w:ind w:left="540" w:hanging="360"/>
      </w:pPr>
      <w:rPr>
        <w:rFonts w:hint="default"/>
        <w:b/>
        <w:bCs/>
        <w:i w:val="0"/>
        <w:color w:val="4B0082"/>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2" w15:restartNumberingAfterBreak="0">
    <w:nsid w:val="40C2201B"/>
    <w:multiLevelType w:val="hybridMultilevel"/>
    <w:tmpl w:val="78222FD8"/>
    <w:lvl w:ilvl="0" w:tplc="652E3066">
      <w:start w:val="3"/>
      <w:numFmt w:val="lowerRoman"/>
      <w:lvlText w:val="%1."/>
      <w:lvlJc w:val="right"/>
      <w:pPr>
        <w:ind w:left="1080" w:hanging="72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3" w15:restartNumberingAfterBreak="0">
    <w:nsid w:val="42D65511"/>
    <w:multiLevelType w:val="hybridMultilevel"/>
    <w:tmpl w:val="DA685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33D3C21"/>
    <w:multiLevelType w:val="hybridMultilevel"/>
    <w:tmpl w:val="F8C2E742"/>
    <w:lvl w:ilvl="0" w:tplc="2D56B528">
      <w:start w:val="3"/>
      <w:numFmt w:val="upperLetter"/>
      <w:lvlText w:val="%1."/>
      <w:lvlJc w:val="left"/>
      <w:pPr>
        <w:ind w:left="720" w:hanging="360"/>
      </w:pPr>
      <w:rPr>
        <w:rFonts w:ascii="Arial" w:hAnsi="Arial" w:hint="default"/>
        <w:b/>
        <w:bCs/>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3AF62DB"/>
    <w:multiLevelType w:val="hybridMultilevel"/>
    <w:tmpl w:val="DD4415BA"/>
    <w:lvl w:ilvl="0" w:tplc="D7660E62">
      <w:start w:val="1"/>
      <w:numFmt w:val="decimal"/>
      <w:lvlText w:val="%1."/>
      <w:lvlJc w:val="left"/>
      <w:pPr>
        <w:ind w:left="1440" w:hanging="360"/>
      </w:pPr>
      <w:rPr>
        <w:rFonts w:hint="default"/>
      </w:rPr>
    </w:lvl>
    <w:lvl w:ilvl="1" w:tplc="1F66D3F6">
      <w:start w:val="1"/>
      <w:numFmt w:val="lowerLetter"/>
      <w:lvlText w:val="%2."/>
      <w:lvlJc w:val="left"/>
      <w:pPr>
        <w:ind w:left="1890" w:hanging="360"/>
      </w:pPr>
      <w:rPr>
        <w:b w:val="0"/>
        <w:bCs/>
      </w:rPr>
    </w:lvl>
    <w:lvl w:ilvl="2" w:tplc="CB8A2CEE">
      <w:start w:val="1"/>
      <w:numFmt w:val="lowerRoman"/>
      <w:lvlText w:val="%3."/>
      <w:lvlJc w:val="right"/>
      <w:pPr>
        <w:ind w:left="720" w:hanging="360"/>
      </w:pPr>
      <w:rPr>
        <w:rFonts w:hint="default"/>
        <w:b/>
        <w:bCs/>
        <w:i w:val="0"/>
        <w:color w:val="4B0082"/>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4605715"/>
    <w:multiLevelType w:val="hybridMultilevel"/>
    <w:tmpl w:val="87CC209C"/>
    <w:lvl w:ilvl="0" w:tplc="CD027B28">
      <w:start w:val="2"/>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8841EB"/>
    <w:multiLevelType w:val="hybridMultilevel"/>
    <w:tmpl w:val="A1FCEBCA"/>
    <w:lvl w:ilvl="0" w:tplc="1D326C1A">
      <w:start w:val="1"/>
      <w:numFmt w:val="bullet"/>
      <w:lvlText w:val=""/>
      <w:lvlJc w:val="left"/>
      <w:pPr>
        <w:ind w:left="720" w:hanging="360"/>
      </w:pPr>
      <w:rPr>
        <w:rFonts w:ascii="Symbol" w:hAnsi="Symbol" w:hint="default"/>
        <w:color w:val="4B0082"/>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468F20B3"/>
    <w:multiLevelType w:val="multilevel"/>
    <w:tmpl w:val="5A34E054"/>
    <w:styleLink w:val="CurrentList8"/>
    <w:lvl w:ilvl="0">
      <w:start w:val="5"/>
      <w:numFmt w:val="lowerRoman"/>
      <w:lvlText w:val="%1."/>
      <w:lvlJc w:val="right"/>
      <w:pPr>
        <w:ind w:left="720" w:hanging="360"/>
      </w:pPr>
      <w:rPr>
        <w:rFonts w:ascii="Arial" w:hAnsi="Arial" w:hint="default"/>
        <w:b/>
        <w:bCs/>
        <w:i w:val="0"/>
        <w:color w:val="4B0082"/>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9" w15:restartNumberingAfterBreak="0">
    <w:nsid w:val="50CB3AA2"/>
    <w:multiLevelType w:val="hybridMultilevel"/>
    <w:tmpl w:val="F510127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55236205"/>
    <w:multiLevelType w:val="hybridMultilevel"/>
    <w:tmpl w:val="5F6E82A0"/>
    <w:lvl w:ilvl="0" w:tplc="1F8A682C">
      <w:start w:val="1"/>
      <w:numFmt w:val="upperLetter"/>
      <w:lvlText w:val="%1."/>
      <w:lvlJc w:val="left"/>
      <w:pPr>
        <w:ind w:left="720" w:hanging="360"/>
      </w:pPr>
      <w:rPr>
        <w:rFonts w:ascii="Arial" w:hAnsi="Arial" w:hint="default"/>
        <w:b/>
        <w:bCs/>
        <w:i w:val="0"/>
        <w:color w:val="4B0082"/>
        <w:sz w:val="36"/>
        <w:szCs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6774952"/>
    <w:multiLevelType w:val="hybridMultilevel"/>
    <w:tmpl w:val="480689C8"/>
    <w:lvl w:ilvl="0" w:tplc="A776FD28">
      <w:start w:val="3"/>
      <w:numFmt w:val="lowerRoman"/>
      <w:lvlText w:val="%1."/>
      <w:lvlJc w:val="right"/>
      <w:pPr>
        <w:ind w:left="1080" w:hanging="720"/>
      </w:pPr>
      <w:rPr>
        <w:rFonts w:hint="default"/>
        <w:b/>
        <w:bCs/>
        <w:i w:val="0"/>
        <w:color w:val="4B008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B0215C"/>
    <w:multiLevelType w:val="multilevel"/>
    <w:tmpl w:val="66F2BA50"/>
    <w:styleLink w:val="CurrentList11"/>
    <w:lvl w:ilvl="0">
      <w:start w:val="1"/>
      <w:numFmt w:val="lowerRoman"/>
      <w:lvlText w:val="%1."/>
      <w:lvlJc w:val="right"/>
      <w:pPr>
        <w:ind w:left="720" w:hanging="360"/>
      </w:pPr>
      <w:rPr>
        <w:rFonts w:ascii="Arial" w:hAnsi="Arial" w:hint="default"/>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945704C"/>
    <w:multiLevelType w:val="hybridMultilevel"/>
    <w:tmpl w:val="FB1059B2"/>
    <w:lvl w:ilvl="0" w:tplc="1D326C1A">
      <w:start w:val="1"/>
      <w:numFmt w:val="bullet"/>
      <w:lvlText w:val=""/>
      <w:lvlJc w:val="left"/>
      <w:pPr>
        <w:ind w:left="720" w:hanging="360"/>
      </w:pPr>
      <w:rPr>
        <w:rFonts w:ascii="Symbol" w:hAnsi="Symbol" w:hint="default"/>
        <w:color w:val="4B008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E330CE5"/>
    <w:multiLevelType w:val="hybridMultilevel"/>
    <w:tmpl w:val="3B767936"/>
    <w:lvl w:ilvl="0" w:tplc="C97E8D34">
      <w:start w:val="2"/>
      <w:numFmt w:val="lowerRoman"/>
      <w:lvlText w:val="%1."/>
      <w:lvlJc w:val="right"/>
      <w:pPr>
        <w:ind w:left="1080" w:hanging="720"/>
      </w:pPr>
      <w:rPr>
        <w:rFonts w:ascii="Arial" w:hAnsi="Arial" w:hint="default"/>
        <w:b/>
        <w:bCs/>
        <w:i w:val="0"/>
        <w:color w:val="4B0082"/>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45" w15:restartNumberingAfterBreak="0">
    <w:nsid w:val="5EAA7299"/>
    <w:multiLevelType w:val="hybridMultilevel"/>
    <w:tmpl w:val="99E6B384"/>
    <w:lvl w:ilvl="0" w:tplc="0409001B">
      <w:start w:val="1"/>
      <w:numFmt w:val="lowerRoman"/>
      <w:lvlText w:val="%1."/>
      <w:lvlJc w:val="right"/>
      <w:pPr>
        <w:ind w:left="1080" w:hanging="720"/>
      </w:pPr>
      <w:rPr>
        <w:rFonts w:hint="default"/>
        <w:b/>
        <w:bCs/>
        <w:i w:val="0"/>
        <w:color w:val="4B0082"/>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46" w15:restartNumberingAfterBreak="0">
    <w:nsid w:val="647E1225"/>
    <w:multiLevelType w:val="hybridMultilevel"/>
    <w:tmpl w:val="FF6A347A"/>
    <w:lvl w:ilvl="0" w:tplc="44D891BE">
      <w:start w:val="1"/>
      <w:numFmt w:val="lowerRoman"/>
      <w:lvlText w:val="%1."/>
      <w:lvlJc w:val="right"/>
      <w:pPr>
        <w:ind w:left="1080" w:hanging="720"/>
      </w:pPr>
      <w:rPr>
        <w:rFonts w:ascii="Arial" w:hAnsi="Arial" w:hint="default"/>
        <w:b/>
        <w:bCs/>
        <w:i w:val="0"/>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619265E"/>
    <w:multiLevelType w:val="hybridMultilevel"/>
    <w:tmpl w:val="DE9C9F4A"/>
    <w:lvl w:ilvl="0" w:tplc="583C8CFA">
      <w:start w:val="1"/>
      <w:numFmt w:val="lowerLetter"/>
      <w:lvlText w:val="%1."/>
      <w:lvlJc w:val="left"/>
      <w:pPr>
        <w:ind w:left="720" w:hanging="360"/>
      </w:pPr>
      <w:rPr>
        <w:rFonts w:ascii="Arial" w:hAnsi="Arial" w:hint="default"/>
        <w:b/>
        <w:bCs/>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66406FF1"/>
    <w:multiLevelType w:val="hybridMultilevel"/>
    <w:tmpl w:val="0FA8FB08"/>
    <w:lvl w:ilvl="0" w:tplc="CEF4E622">
      <w:start w:val="4"/>
      <w:numFmt w:val="lowerRoman"/>
      <w:lvlText w:val="%1."/>
      <w:lvlJc w:val="left"/>
      <w:pPr>
        <w:ind w:left="1080" w:hanging="720"/>
      </w:pPr>
      <w:rPr>
        <w:rFonts w:ascii="Arial" w:hAnsi="Arial" w:hint="default"/>
        <w:sz w:val="32"/>
        <w:szCs w:val="36"/>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49" w15:restartNumberingAfterBreak="0">
    <w:nsid w:val="681C43FB"/>
    <w:multiLevelType w:val="hybridMultilevel"/>
    <w:tmpl w:val="5E009FF0"/>
    <w:lvl w:ilvl="0" w:tplc="753889EE">
      <w:start w:val="1"/>
      <w:numFmt w:val="bullet"/>
      <w:lvlText w:val=""/>
      <w:lvlJc w:val="left"/>
      <w:pPr>
        <w:ind w:left="720" w:hanging="360"/>
      </w:pPr>
      <w:rPr>
        <w:rFonts w:ascii="Symbol" w:hAnsi="Symbol" w:hint="default"/>
        <w:color w:val="4B008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9CB714B"/>
    <w:multiLevelType w:val="hybridMultilevel"/>
    <w:tmpl w:val="51C6A66C"/>
    <w:lvl w:ilvl="0" w:tplc="A776FD28">
      <w:start w:val="3"/>
      <w:numFmt w:val="lowerRoman"/>
      <w:lvlText w:val="%1."/>
      <w:lvlJc w:val="right"/>
      <w:pPr>
        <w:ind w:left="720" w:hanging="360"/>
      </w:pPr>
      <w:rPr>
        <w:rFonts w:hint="default"/>
        <w:b/>
        <w:bCs/>
        <w:i w:val="0"/>
        <w:color w:val="4B008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9ED00D4"/>
    <w:multiLevelType w:val="hybridMultilevel"/>
    <w:tmpl w:val="A4F6F1A2"/>
    <w:lvl w:ilvl="0" w:tplc="0409001B">
      <w:start w:val="1"/>
      <w:numFmt w:val="lowerRoman"/>
      <w:lvlText w:val="%1."/>
      <w:lvlJc w:val="right"/>
      <w:pPr>
        <w:ind w:left="1080" w:hanging="720"/>
      </w:pPr>
      <w:rPr>
        <w:rFonts w:hint="default"/>
        <w:b/>
        <w:bCs/>
        <w:i w:val="0"/>
        <w:color w:val="4B0082"/>
        <w:sz w:val="3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BA61E95"/>
    <w:multiLevelType w:val="hybridMultilevel"/>
    <w:tmpl w:val="01FA0E9C"/>
    <w:lvl w:ilvl="0" w:tplc="4254E51A">
      <w:start w:val="1"/>
      <w:numFmt w:val="lowerRoman"/>
      <w:lvlText w:val="%1."/>
      <w:lvlJc w:val="right"/>
      <w:pPr>
        <w:ind w:left="1080" w:hanging="720"/>
      </w:pPr>
      <w:rPr>
        <w:rFonts w:ascii="Arial" w:hAnsi="Arial" w:hint="default"/>
        <w:b/>
        <w:bCs/>
        <w:i w:val="0"/>
        <w:iCs w:val="0"/>
        <w:sz w:val="32"/>
        <w:szCs w:val="36"/>
      </w:rPr>
    </w:lvl>
    <w:lvl w:ilvl="1" w:tplc="F3DA9100">
      <w:start w:val="1"/>
      <w:numFmt w:val="lowerLetter"/>
      <w:lvlText w:val="%2."/>
      <w:lvlJc w:val="left"/>
      <w:pPr>
        <w:ind w:left="720" w:hanging="360"/>
      </w:pPr>
      <w:rPr>
        <w:rFonts w:hint="default"/>
        <w:b/>
        <w:bCs/>
        <w:i w:val="0"/>
        <w:iCs w:val="0"/>
      </w:rPr>
    </w:lvl>
    <w:lvl w:ilvl="2" w:tplc="D0107106">
      <w:start w:val="1"/>
      <w:numFmt w:val="lowerLetter"/>
      <w:lvlText w:val="%3."/>
      <w:lvlJc w:val="left"/>
      <w:pPr>
        <w:ind w:left="720" w:hanging="360"/>
      </w:pPr>
      <w:rPr>
        <w:rFonts w:ascii="Arial" w:hAnsi="Arial" w:hint="default"/>
        <w:b/>
        <w:bCs w:val="0"/>
        <w:i w:val="0"/>
      </w:r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53" w15:restartNumberingAfterBreak="0">
    <w:nsid w:val="6F770394"/>
    <w:multiLevelType w:val="multilevel"/>
    <w:tmpl w:val="56DA76E2"/>
    <w:styleLink w:val="CurrentList1"/>
    <w:lvl w:ilvl="0">
      <w:start w:val="1"/>
      <w:numFmt w:val="lowerRoman"/>
      <w:lvlText w:val="%1."/>
      <w:lvlJc w:val="right"/>
      <w:pPr>
        <w:ind w:left="1350" w:hanging="342"/>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4" w15:restartNumberingAfterBreak="0">
    <w:nsid w:val="70314CCC"/>
    <w:multiLevelType w:val="hybridMultilevel"/>
    <w:tmpl w:val="11AC6BE8"/>
    <w:lvl w:ilvl="0" w:tplc="6DB65D58">
      <w:start w:val="4"/>
      <w:numFmt w:val="none"/>
      <w:lvlText w:val="iv."/>
      <w:lvlJc w:val="right"/>
      <w:pPr>
        <w:ind w:left="1080" w:hanging="720"/>
      </w:pPr>
      <w:rPr>
        <w:rFonts w:hint="default"/>
        <w:b/>
        <w:i w:val="0"/>
        <w:color w:val="4B008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05950C6"/>
    <w:multiLevelType w:val="multilevel"/>
    <w:tmpl w:val="F0A69204"/>
    <w:styleLink w:val="CurrentList2"/>
    <w:lvl w:ilvl="0">
      <w:start w:val="1"/>
      <w:numFmt w:val="lowerRoman"/>
      <w:lvlText w:val="%1."/>
      <w:lvlJc w:val="right"/>
      <w:pPr>
        <w:ind w:left="720" w:hanging="360"/>
      </w:pPr>
      <w:rPr>
        <w:rFonts w:ascii="Arial" w:hAnsi="Arial" w:hint="default"/>
        <w:b/>
        <w:bCs/>
        <w:i w:val="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6" w15:restartNumberingAfterBreak="0">
    <w:nsid w:val="73DE61A8"/>
    <w:multiLevelType w:val="hybridMultilevel"/>
    <w:tmpl w:val="244260F4"/>
    <w:lvl w:ilvl="0" w:tplc="8CD8D134">
      <w:start w:val="1"/>
      <w:numFmt w:val="lowerRoman"/>
      <w:lvlText w:val="%1."/>
      <w:lvlJc w:val="right"/>
      <w:pPr>
        <w:ind w:left="1080" w:hanging="720"/>
      </w:pPr>
      <w:rPr>
        <w:rFonts w:ascii="Arial" w:hAnsi="Arial" w:hint="default"/>
        <w:b/>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4181F15"/>
    <w:multiLevelType w:val="multilevel"/>
    <w:tmpl w:val="4DB2F7E8"/>
    <w:styleLink w:val="CurrentList9"/>
    <w:lvl w:ilvl="0">
      <w:start w:val="1"/>
      <w:numFmt w:val="lowerRoman"/>
      <w:lvlText w:val="%1."/>
      <w:lvlJc w:val="right"/>
      <w:pPr>
        <w:ind w:left="720" w:hanging="360"/>
      </w:pPr>
      <w:rPr>
        <w:rFonts w:ascii="Arial" w:hAnsi="Arial" w:hint="default"/>
        <w:b/>
        <w:bCs/>
        <w:i w:val="0"/>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58" w15:restartNumberingAfterBreak="0">
    <w:nsid w:val="76DB10F5"/>
    <w:multiLevelType w:val="hybridMultilevel"/>
    <w:tmpl w:val="4252A100"/>
    <w:lvl w:ilvl="0" w:tplc="FAB6E078">
      <w:start w:val="1"/>
      <w:numFmt w:val="bullet"/>
      <w:lvlText w:val=""/>
      <w:lvlJc w:val="left"/>
      <w:pPr>
        <w:ind w:left="720" w:hanging="360"/>
      </w:pPr>
      <w:rPr>
        <w:rFonts w:ascii="Symbol" w:hAnsi="Symbol" w:hint="default"/>
        <w:color w:val="4B008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7A9152D3"/>
    <w:multiLevelType w:val="hybridMultilevel"/>
    <w:tmpl w:val="C104557E"/>
    <w:lvl w:ilvl="0" w:tplc="737CDB10">
      <w:start w:val="1"/>
      <w:numFmt w:val="bullet"/>
      <w:lvlText w:val=""/>
      <w:lvlJc w:val="left"/>
      <w:pPr>
        <w:ind w:left="720" w:hanging="360"/>
      </w:pPr>
      <w:rPr>
        <w:rFonts w:ascii="Symbol" w:hAnsi="Symbol" w:hint="default"/>
        <w:color w:val="4B0082"/>
      </w:rPr>
    </w:lvl>
    <w:lvl w:ilvl="1" w:tplc="8E1EC018">
      <w:start w:val="1"/>
      <w:numFmt w:val="bullet"/>
      <w:lvlText w:val="o"/>
      <w:lvlJc w:val="left"/>
      <w:pPr>
        <w:ind w:left="1440" w:hanging="360"/>
      </w:pPr>
      <w:rPr>
        <w:rFonts w:ascii="Courier New" w:hAnsi="Courier New" w:hint="default"/>
      </w:rPr>
    </w:lvl>
    <w:lvl w:ilvl="2" w:tplc="D4265BF2">
      <w:start w:val="1"/>
      <w:numFmt w:val="bullet"/>
      <w:lvlText w:val=""/>
      <w:lvlJc w:val="left"/>
      <w:pPr>
        <w:ind w:left="2160" w:hanging="360"/>
      </w:pPr>
      <w:rPr>
        <w:rFonts w:ascii="Wingdings" w:hAnsi="Wingdings" w:hint="default"/>
      </w:rPr>
    </w:lvl>
    <w:lvl w:ilvl="3" w:tplc="A4A25384">
      <w:start w:val="1"/>
      <w:numFmt w:val="bullet"/>
      <w:lvlText w:val=""/>
      <w:lvlJc w:val="left"/>
      <w:pPr>
        <w:ind w:left="2880" w:hanging="360"/>
      </w:pPr>
      <w:rPr>
        <w:rFonts w:ascii="Symbol" w:hAnsi="Symbol" w:hint="default"/>
      </w:rPr>
    </w:lvl>
    <w:lvl w:ilvl="4" w:tplc="82CC5A5A">
      <w:start w:val="1"/>
      <w:numFmt w:val="bullet"/>
      <w:lvlText w:val="o"/>
      <w:lvlJc w:val="left"/>
      <w:pPr>
        <w:ind w:left="3600" w:hanging="360"/>
      </w:pPr>
      <w:rPr>
        <w:rFonts w:ascii="Courier New" w:hAnsi="Courier New" w:hint="default"/>
      </w:rPr>
    </w:lvl>
    <w:lvl w:ilvl="5" w:tplc="979A581E">
      <w:start w:val="1"/>
      <w:numFmt w:val="bullet"/>
      <w:lvlText w:val=""/>
      <w:lvlJc w:val="left"/>
      <w:pPr>
        <w:ind w:left="4320" w:hanging="360"/>
      </w:pPr>
      <w:rPr>
        <w:rFonts w:ascii="Wingdings" w:hAnsi="Wingdings" w:hint="default"/>
      </w:rPr>
    </w:lvl>
    <w:lvl w:ilvl="6" w:tplc="11FE7DB2">
      <w:start w:val="1"/>
      <w:numFmt w:val="bullet"/>
      <w:lvlText w:val=""/>
      <w:lvlJc w:val="left"/>
      <w:pPr>
        <w:ind w:left="5040" w:hanging="360"/>
      </w:pPr>
      <w:rPr>
        <w:rFonts w:ascii="Symbol" w:hAnsi="Symbol" w:hint="default"/>
      </w:rPr>
    </w:lvl>
    <w:lvl w:ilvl="7" w:tplc="A6FED918">
      <w:start w:val="1"/>
      <w:numFmt w:val="bullet"/>
      <w:lvlText w:val="o"/>
      <w:lvlJc w:val="left"/>
      <w:pPr>
        <w:ind w:left="5760" w:hanging="360"/>
      </w:pPr>
      <w:rPr>
        <w:rFonts w:ascii="Courier New" w:hAnsi="Courier New" w:hint="default"/>
      </w:rPr>
    </w:lvl>
    <w:lvl w:ilvl="8" w:tplc="F9B43A2A">
      <w:start w:val="1"/>
      <w:numFmt w:val="bullet"/>
      <w:lvlText w:val=""/>
      <w:lvlJc w:val="left"/>
      <w:pPr>
        <w:ind w:left="6480" w:hanging="360"/>
      </w:pPr>
      <w:rPr>
        <w:rFonts w:ascii="Wingdings" w:hAnsi="Wingdings" w:hint="default"/>
      </w:rPr>
    </w:lvl>
  </w:abstractNum>
  <w:abstractNum w:abstractNumId="60" w15:restartNumberingAfterBreak="0">
    <w:nsid w:val="7AE45748"/>
    <w:multiLevelType w:val="multilevel"/>
    <w:tmpl w:val="98D6DA70"/>
    <w:styleLink w:val="CurrentList6"/>
    <w:lvl w:ilvl="0">
      <w:start w:val="1"/>
      <w:numFmt w:val="lowerRoman"/>
      <w:lvlText w:val="%1."/>
      <w:lvlJc w:val="right"/>
      <w:pPr>
        <w:ind w:left="720" w:hanging="360"/>
      </w:pPr>
      <w:rPr>
        <w:rFonts w:ascii="Arial" w:hAnsi="Arial" w:hint="default"/>
        <w:b/>
        <w:bCs/>
        <w:i w:val="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61" w15:restartNumberingAfterBreak="0">
    <w:nsid w:val="7C411172"/>
    <w:multiLevelType w:val="hybridMultilevel"/>
    <w:tmpl w:val="D18A3E20"/>
    <w:lvl w:ilvl="0" w:tplc="A776FD28">
      <w:start w:val="3"/>
      <w:numFmt w:val="lowerRoman"/>
      <w:lvlText w:val="%1."/>
      <w:lvlJc w:val="right"/>
      <w:pPr>
        <w:ind w:left="720" w:hanging="360"/>
      </w:pPr>
      <w:rPr>
        <w:rFonts w:hint="default"/>
        <w:b/>
        <w:bCs/>
        <w:i w:val="0"/>
        <w:color w:val="4B008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CDB4266"/>
    <w:multiLevelType w:val="hybridMultilevel"/>
    <w:tmpl w:val="F51012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CF16B02"/>
    <w:multiLevelType w:val="hybridMultilevel"/>
    <w:tmpl w:val="62A2695C"/>
    <w:lvl w:ilvl="0" w:tplc="BA40DEF8">
      <w:start w:val="1"/>
      <w:numFmt w:val="upperLetter"/>
      <w:lvlText w:val="%1."/>
      <w:lvlJc w:val="left"/>
      <w:pPr>
        <w:ind w:left="720" w:hanging="360"/>
      </w:pPr>
      <w:rPr>
        <w:rFonts w:ascii="Helvetica Neue" w:hAnsi="Helvetica Neue" w:hint="default"/>
        <w:b/>
        <w:bCs/>
        <w:i w:val="0"/>
        <w:color w:val="4B0082"/>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6C1C7A"/>
    <w:multiLevelType w:val="hybridMultilevel"/>
    <w:tmpl w:val="56C2A4AC"/>
    <w:lvl w:ilvl="0" w:tplc="DD20BAD0">
      <w:start w:val="1"/>
      <w:numFmt w:val="lowerRoman"/>
      <w:lvlText w:val="%1."/>
      <w:lvlJc w:val="right"/>
      <w:pPr>
        <w:ind w:left="1080" w:hanging="720"/>
      </w:pPr>
      <w:rPr>
        <w:rFonts w:hint="default"/>
        <w:b/>
        <w:bCs/>
        <w:i w:val="0"/>
        <w:iCs w:val="0"/>
        <w:sz w:val="32"/>
        <w:szCs w:val="36"/>
      </w:rPr>
    </w:lvl>
    <w:lvl w:ilvl="1" w:tplc="04090019" w:tentative="1">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num w:numId="1" w16cid:durableId="2120950115">
    <w:abstractNumId w:val="59"/>
  </w:num>
  <w:num w:numId="2" w16cid:durableId="226383543">
    <w:abstractNumId w:val="35"/>
  </w:num>
  <w:num w:numId="3" w16cid:durableId="443501359">
    <w:abstractNumId w:val="62"/>
  </w:num>
  <w:num w:numId="4" w16cid:durableId="139470608">
    <w:abstractNumId w:val="25"/>
  </w:num>
  <w:num w:numId="5" w16cid:durableId="1363087714">
    <w:abstractNumId w:val="26"/>
  </w:num>
  <w:num w:numId="6" w16cid:durableId="1090079774">
    <w:abstractNumId w:val="7"/>
  </w:num>
  <w:num w:numId="7" w16cid:durableId="125706833">
    <w:abstractNumId w:val="13"/>
  </w:num>
  <w:num w:numId="8" w16cid:durableId="1641839249">
    <w:abstractNumId w:val="29"/>
  </w:num>
  <w:num w:numId="9" w16cid:durableId="1664120880">
    <w:abstractNumId w:val="52"/>
  </w:num>
  <w:num w:numId="10" w16cid:durableId="671371839">
    <w:abstractNumId w:val="30"/>
  </w:num>
  <w:num w:numId="11" w16cid:durableId="899708653">
    <w:abstractNumId w:val="3"/>
  </w:num>
  <w:num w:numId="12" w16cid:durableId="1590769258">
    <w:abstractNumId w:val="34"/>
  </w:num>
  <w:num w:numId="13" w16cid:durableId="2008089262">
    <w:abstractNumId w:val="64"/>
  </w:num>
  <w:num w:numId="14" w16cid:durableId="740370586">
    <w:abstractNumId w:val="36"/>
  </w:num>
  <w:num w:numId="15" w16cid:durableId="1371881354">
    <w:abstractNumId w:val="40"/>
  </w:num>
  <w:num w:numId="16" w16cid:durableId="1607495148">
    <w:abstractNumId w:val="27"/>
  </w:num>
  <w:num w:numId="17" w16cid:durableId="1692148074">
    <w:abstractNumId w:val="9"/>
  </w:num>
  <w:num w:numId="18" w16cid:durableId="1156996456">
    <w:abstractNumId w:val="20"/>
  </w:num>
  <w:num w:numId="19" w16cid:durableId="213347536">
    <w:abstractNumId w:val="17"/>
  </w:num>
  <w:num w:numId="20" w16cid:durableId="1370495004">
    <w:abstractNumId w:val="47"/>
  </w:num>
  <w:num w:numId="21" w16cid:durableId="660699586">
    <w:abstractNumId w:val="0"/>
  </w:num>
  <w:num w:numId="22" w16cid:durableId="857475024">
    <w:abstractNumId w:val="56"/>
  </w:num>
  <w:num w:numId="23" w16cid:durableId="822624743">
    <w:abstractNumId w:val="45"/>
  </w:num>
  <w:num w:numId="24" w16cid:durableId="1073165499">
    <w:abstractNumId w:val="16"/>
  </w:num>
  <w:num w:numId="25" w16cid:durableId="758790461">
    <w:abstractNumId w:val="46"/>
  </w:num>
  <w:num w:numId="26" w16cid:durableId="926116297">
    <w:abstractNumId w:val="12"/>
  </w:num>
  <w:num w:numId="27" w16cid:durableId="742411998">
    <w:abstractNumId w:val="33"/>
  </w:num>
  <w:num w:numId="28" w16cid:durableId="552812394">
    <w:abstractNumId w:val="39"/>
  </w:num>
  <w:num w:numId="29" w16cid:durableId="631864713">
    <w:abstractNumId w:val="21"/>
  </w:num>
  <w:num w:numId="30" w16cid:durableId="247010296">
    <w:abstractNumId w:val="37"/>
  </w:num>
  <w:num w:numId="31" w16cid:durableId="1942058722">
    <w:abstractNumId w:val="43"/>
  </w:num>
  <w:num w:numId="32" w16cid:durableId="275450025">
    <w:abstractNumId w:val="18"/>
  </w:num>
  <w:num w:numId="33" w16cid:durableId="470558043">
    <w:abstractNumId w:val="8"/>
  </w:num>
  <w:num w:numId="34" w16cid:durableId="1124813956">
    <w:abstractNumId w:val="49"/>
  </w:num>
  <w:num w:numId="35" w16cid:durableId="1278559378">
    <w:abstractNumId w:val="6"/>
  </w:num>
  <w:num w:numId="36" w16cid:durableId="1008749126">
    <w:abstractNumId w:val="58"/>
  </w:num>
  <w:num w:numId="37" w16cid:durableId="113331276">
    <w:abstractNumId w:val="53"/>
  </w:num>
  <w:num w:numId="38" w16cid:durableId="1023632201">
    <w:abstractNumId w:val="48"/>
  </w:num>
  <w:num w:numId="39" w16cid:durableId="1674263845">
    <w:abstractNumId w:val="15"/>
  </w:num>
  <w:num w:numId="40" w16cid:durableId="1928034450">
    <w:abstractNumId w:val="32"/>
  </w:num>
  <w:num w:numId="41" w16cid:durableId="57823179">
    <w:abstractNumId w:val="54"/>
  </w:num>
  <w:num w:numId="42" w16cid:durableId="1291863097">
    <w:abstractNumId w:val="44"/>
  </w:num>
  <w:num w:numId="43" w16cid:durableId="574316088">
    <w:abstractNumId w:val="24"/>
  </w:num>
  <w:num w:numId="44" w16cid:durableId="597636716">
    <w:abstractNumId w:val="63"/>
  </w:num>
  <w:num w:numId="45" w16cid:durableId="39591811">
    <w:abstractNumId w:val="4"/>
  </w:num>
  <w:num w:numId="46" w16cid:durableId="2147043276">
    <w:abstractNumId w:val="55"/>
  </w:num>
  <w:num w:numId="47" w16cid:durableId="7603893">
    <w:abstractNumId w:val="5"/>
  </w:num>
  <w:num w:numId="48" w16cid:durableId="1113478808">
    <w:abstractNumId w:val="10"/>
  </w:num>
  <w:num w:numId="49" w16cid:durableId="2105611112">
    <w:abstractNumId w:val="11"/>
  </w:num>
  <w:num w:numId="50" w16cid:durableId="638346888">
    <w:abstractNumId w:val="60"/>
  </w:num>
  <w:num w:numId="51" w16cid:durableId="1512338079">
    <w:abstractNumId w:val="2"/>
  </w:num>
  <w:num w:numId="52" w16cid:durableId="1342465489">
    <w:abstractNumId w:val="28"/>
  </w:num>
  <w:num w:numId="53" w16cid:durableId="913392535">
    <w:abstractNumId w:val="38"/>
  </w:num>
  <w:num w:numId="54" w16cid:durableId="526023489">
    <w:abstractNumId w:val="57"/>
  </w:num>
  <w:num w:numId="55" w16cid:durableId="457143332">
    <w:abstractNumId w:val="14"/>
  </w:num>
  <w:num w:numId="56" w16cid:durableId="2029329052">
    <w:abstractNumId w:val="42"/>
  </w:num>
  <w:num w:numId="57" w16cid:durableId="1425759438">
    <w:abstractNumId w:val="1"/>
  </w:num>
  <w:num w:numId="58" w16cid:durableId="997000414">
    <w:abstractNumId w:val="41"/>
  </w:num>
  <w:num w:numId="59" w16cid:durableId="683745099">
    <w:abstractNumId w:val="31"/>
  </w:num>
  <w:num w:numId="60" w16cid:durableId="1650359916">
    <w:abstractNumId w:val="23"/>
  </w:num>
  <w:num w:numId="61" w16cid:durableId="1138373451">
    <w:abstractNumId w:val="61"/>
  </w:num>
  <w:num w:numId="62" w16cid:durableId="146828279">
    <w:abstractNumId w:val="22"/>
  </w:num>
  <w:num w:numId="63" w16cid:durableId="1792283310">
    <w:abstractNumId w:val="51"/>
  </w:num>
  <w:num w:numId="64" w16cid:durableId="1035427378">
    <w:abstractNumId w:val="50"/>
  </w:num>
  <w:num w:numId="65" w16cid:durableId="257491385">
    <w:abstractNumId w:val="35"/>
    <w:lvlOverride w:ilvl="0">
      <w:lvl w:ilvl="0" w:tplc="D7660E62">
        <w:start w:val="1"/>
        <w:numFmt w:val="lowerRoman"/>
        <w:lvlText w:val="%1."/>
        <w:lvlJc w:val="right"/>
        <w:pPr>
          <w:ind w:left="720" w:hanging="360"/>
        </w:pPr>
        <w:rPr>
          <w:rFonts w:hint="default"/>
          <w:b/>
          <w:bCs/>
          <w:i w:val="0"/>
          <w:color w:val="4B0082"/>
        </w:rPr>
      </w:lvl>
    </w:lvlOverride>
    <w:lvlOverride w:ilvl="1">
      <w:lvl w:ilvl="1" w:tplc="1F66D3F6" w:tentative="1">
        <w:start w:val="1"/>
        <w:numFmt w:val="lowerLetter"/>
        <w:lvlText w:val="%2."/>
        <w:lvlJc w:val="left"/>
        <w:pPr>
          <w:ind w:left="1440" w:hanging="360"/>
        </w:pPr>
      </w:lvl>
    </w:lvlOverride>
    <w:lvlOverride w:ilvl="2">
      <w:lvl w:ilvl="2" w:tplc="CB8A2CEE">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6" w16cid:durableId="151335780">
    <w:abstractNumId w:val="1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8E"/>
    <w:rsid w:val="00000258"/>
    <w:rsid w:val="00000ECD"/>
    <w:rsid w:val="0000148E"/>
    <w:rsid w:val="00001EC4"/>
    <w:rsid w:val="00002161"/>
    <w:rsid w:val="0000240D"/>
    <w:rsid w:val="000026B4"/>
    <w:rsid w:val="000030AC"/>
    <w:rsid w:val="0000367A"/>
    <w:rsid w:val="00003AD1"/>
    <w:rsid w:val="00003DBF"/>
    <w:rsid w:val="00004862"/>
    <w:rsid w:val="000057A5"/>
    <w:rsid w:val="00006545"/>
    <w:rsid w:val="000066C3"/>
    <w:rsid w:val="00006B85"/>
    <w:rsid w:val="00006EEE"/>
    <w:rsid w:val="00007327"/>
    <w:rsid w:val="0000773D"/>
    <w:rsid w:val="0000786B"/>
    <w:rsid w:val="00007E2C"/>
    <w:rsid w:val="00010D04"/>
    <w:rsid w:val="00011021"/>
    <w:rsid w:val="000110AA"/>
    <w:rsid w:val="000113C8"/>
    <w:rsid w:val="00011BD5"/>
    <w:rsid w:val="00011D2C"/>
    <w:rsid w:val="00011F61"/>
    <w:rsid w:val="00012297"/>
    <w:rsid w:val="000123E7"/>
    <w:rsid w:val="0001257B"/>
    <w:rsid w:val="00012988"/>
    <w:rsid w:val="000130DA"/>
    <w:rsid w:val="0001341C"/>
    <w:rsid w:val="00013B80"/>
    <w:rsid w:val="00014194"/>
    <w:rsid w:val="000141CD"/>
    <w:rsid w:val="00014D2A"/>
    <w:rsid w:val="00015021"/>
    <w:rsid w:val="0001519F"/>
    <w:rsid w:val="0001558C"/>
    <w:rsid w:val="00015B33"/>
    <w:rsid w:val="000162F5"/>
    <w:rsid w:val="00016AF2"/>
    <w:rsid w:val="00017037"/>
    <w:rsid w:val="00017691"/>
    <w:rsid w:val="0002020F"/>
    <w:rsid w:val="0002066C"/>
    <w:rsid w:val="00020BCB"/>
    <w:rsid w:val="00020C70"/>
    <w:rsid w:val="000211E3"/>
    <w:rsid w:val="000219B4"/>
    <w:rsid w:val="00021C3F"/>
    <w:rsid w:val="0002221E"/>
    <w:rsid w:val="00023C6A"/>
    <w:rsid w:val="00023D09"/>
    <w:rsid w:val="0002485B"/>
    <w:rsid w:val="00024AC4"/>
    <w:rsid w:val="00025405"/>
    <w:rsid w:val="00025D07"/>
    <w:rsid w:val="00026802"/>
    <w:rsid w:val="00026976"/>
    <w:rsid w:val="00026F54"/>
    <w:rsid w:val="00027336"/>
    <w:rsid w:val="000273AA"/>
    <w:rsid w:val="000277DE"/>
    <w:rsid w:val="000279C0"/>
    <w:rsid w:val="00027A25"/>
    <w:rsid w:val="00027E00"/>
    <w:rsid w:val="000323ED"/>
    <w:rsid w:val="00032C18"/>
    <w:rsid w:val="0003322E"/>
    <w:rsid w:val="000334B2"/>
    <w:rsid w:val="000336BA"/>
    <w:rsid w:val="00033EA1"/>
    <w:rsid w:val="0003439A"/>
    <w:rsid w:val="000344BE"/>
    <w:rsid w:val="000346CF"/>
    <w:rsid w:val="00034C17"/>
    <w:rsid w:val="00035389"/>
    <w:rsid w:val="000355D4"/>
    <w:rsid w:val="00035B75"/>
    <w:rsid w:val="00035F1D"/>
    <w:rsid w:val="00035F2C"/>
    <w:rsid w:val="00036191"/>
    <w:rsid w:val="0003620E"/>
    <w:rsid w:val="00036A39"/>
    <w:rsid w:val="00036C52"/>
    <w:rsid w:val="00036D13"/>
    <w:rsid w:val="000372F8"/>
    <w:rsid w:val="00037C83"/>
    <w:rsid w:val="000403E1"/>
    <w:rsid w:val="00040558"/>
    <w:rsid w:val="00040616"/>
    <w:rsid w:val="00040FCA"/>
    <w:rsid w:val="0004105D"/>
    <w:rsid w:val="0004149D"/>
    <w:rsid w:val="00041E59"/>
    <w:rsid w:val="0004273E"/>
    <w:rsid w:val="00042B0B"/>
    <w:rsid w:val="00042BCE"/>
    <w:rsid w:val="00042C20"/>
    <w:rsid w:val="00042E4C"/>
    <w:rsid w:val="00043BA1"/>
    <w:rsid w:val="00043DC5"/>
    <w:rsid w:val="00043E46"/>
    <w:rsid w:val="00043E80"/>
    <w:rsid w:val="00044AF4"/>
    <w:rsid w:val="000457B4"/>
    <w:rsid w:val="00045A9E"/>
    <w:rsid w:val="00045BAF"/>
    <w:rsid w:val="00045BEB"/>
    <w:rsid w:val="00046C10"/>
    <w:rsid w:val="000472D0"/>
    <w:rsid w:val="0004741B"/>
    <w:rsid w:val="0005021B"/>
    <w:rsid w:val="00050349"/>
    <w:rsid w:val="00050B22"/>
    <w:rsid w:val="00050D95"/>
    <w:rsid w:val="00050EA2"/>
    <w:rsid w:val="00051380"/>
    <w:rsid w:val="0005172F"/>
    <w:rsid w:val="000517AA"/>
    <w:rsid w:val="00051C2A"/>
    <w:rsid w:val="0005224D"/>
    <w:rsid w:val="00052637"/>
    <w:rsid w:val="0005269A"/>
    <w:rsid w:val="00052D93"/>
    <w:rsid w:val="000535A1"/>
    <w:rsid w:val="00053E81"/>
    <w:rsid w:val="0005456B"/>
    <w:rsid w:val="000547A3"/>
    <w:rsid w:val="00054957"/>
    <w:rsid w:val="0005498B"/>
    <w:rsid w:val="00055473"/>
    <w:rsid w:val="000556B8"/>
    <w:rsid w:val="00055780"/>
    <w:rsid w:val="00055C63"/>
    <w:rsid w:val="00055FCB"/>
    <w:rsid w:val="000562F6"/>
    <w:rsid w:val="00056FBC"/>
    <w:rsid w:val="00057181"/>
    <w:rsid w:val="00057DD2"/>
    <w:rsid w:val="00060458"/>
    <w:rsid w:val="00060604"/>
    <w:rsid w:val="00060DFE"/>
    <w:rsid w:val="00060F6D"/>
    <w:rsid w:val="0006142F"/>
    <w:rsid w:val="0006176F"/>
    <w:rsid w:val="000619E8"/>
    <w:rsid w:val="000619EA"/>
    <w:rsid w:val="00061D18"/>
    <w:rsid w:val="0006223D"/>
    <w:rsid w:val="00062A39"/>
    <w:rsid w:val="0006362B"/>
    <w:rsid w:val="00063F57"/>
    <w:rsid w:val="0006420A"/>
    <w:rsid w:val="000644C4"/>
    <w:rsid w:val="00064ADF"/>
    <w:rsid w:val="00064CAB"/>
    <w:rsid w:val="00064E6D"/>
    <w:rsid w:val="00065DC5"/>
    <w:rsid w:val="00066C76"/>
    <w:rsid w:val="00066F62"/>
    <w:rsid w:val="0006737F"/>
    <w:rsid w:val="00067FCA"/>
    <w:rsid w:val="000703B4"/>
    <w:rsid w:val="000706FD"/>
    <w:rsid w:val="00070B1B"/>
    <w:rsid w:val="00071034"/>
    <w:rsid w:val="00071242"/>
    <w:rsid w:val="000713D1"/>
    <w:rsid w:val="000714B7"/>
    <w:rsid w:val="000727E0"/>
    <w:rsid w:val="00073A40"/>
    <w:rsid w:val="00074690"/>
    <w:rsid w:val="00074C2E"/>
    <w:rsid w:val="00075298"/>
    <w:rsid w:val="000752C5"/>
    <w:rsid w:val="0007585C"/>
    <w:rsid w:val="00075920"/>
    <w:rsid w:val="00076266"/>
    <w:rsid w:val="0007661A"/>
    <w:rsid w:val="00076CB5"/>
    <w:rsid w:val="0007739A"/>
    <w:rsid w:val="000773F6"/>
    <w:rsid w:val="00077804"/>
    <w:rsid w:val="000800D3"/>
    <w:rsid w:val="0008060A"/>
    <w:rsid w:val="00080964"/>
    <w:rsid w:val="00080A7F"/>
    <w:rsid w:val="00081854"/>
    <w:rsid w:val="00081999"/>
    <w:rsid w:val="00082052"/>
    <w:rsid w:val="00082A77"/>
    <w:rsid w:val="000831D7"/>
    <w:rsid w:val="000834A0"/>
    <w:rsid w:val="00084568"/>
    <w:rsid w:val="00084C7E"/>
    <w:rsid w:val="00084E2C"/>
    <w:rsid w:val="0008515C"/>
    <w:rsid w:val="0008592E"/>
    <w:rsid w:val="00085AE3"/>
    <w:rsid w:val="00085DC4"/>
    <w:rsid w:val="00085ED6"/>
    <w:rsid w:val="000860BF"/>
    <w:rsid w:val="000866B5"/>
    <w:rsid w:val="00086CF9"/>
    <w:rsid w:val="000900F8"/>
    <w:rsid w:val="00090183"/>
    <w:rsid w:val="0009149F"/>
    <w:rsid w:val="0009358D"/>
    <w:rsid w:val="0009360A"/>
    <w:rsid w:val="000937D8"/>
    <w:rsid w:val="000937FC"/>
    <w:rsid w:val="0009474C"/>
    <w:rsid w:val="000948BE"/>
    <w:rsid w:val="00094E2B"/>
    <w:rsid w:val="00095132"/>
    <w:rsid w:val="00095300"/>
    <w:rsid w:val="000954BE"/>
    <w:rsid w:val="0009578B"/>
    <w:rsid w:val="00095FC5"/>
    <w:rsid w:val="00096075"/>
    <w:rsid w:val="000965B6"/>
    <w:rsid w:val="0009708F"/>
    <w:rsid w:val="0009764B"/>
    <w:rsid w:val="000A026D"/>
    <w:rsid w:val="000A13BF"/>
    <w:rsid w:val="000A18DC"/>
    <w:rsid w:val="000A1C6F"/>
    <w:rsid w:val="000A1EAD"/>
    <w:rsid w:val="000A21FB"/>
    <w:rsid w:val="000A280D"/>
    <w:rsid w:val="000A2A57"/>
    <w:rsid w:val="000A2DDB"/>
    <w:rsid w:val="000A2FAA"/>
    <w:rsid w:val="000A3366"/>
    <w:rsid w:val="000A38F9"/>
    <w:rsid w:val="000A3B70"/>
    <w:rsid w:val="000A43B5"/>
    <w:rsid w:val="000A4569"/>
    <w:rsid w:val="000A45BD"/>
    <w:rsid w:val="000A45C5"/>
    <w:rsid w:val="000A4CDB"/>
    <w:rsid w:val="000A4F45"/>
    <w:rsid w:val="000A517D"/>
    <w:rsid w:val="000A5266"/>
    <w:rsid w:val="000A53A8"/>
    <w:rsid w:val="000A5778"/>
    <w:rsid w:val="000A59B8"/>
    <w:rsid w:val="000A5ADE"/>
    <w:rsid w:val="000A5EDA"/>
    <w:rsid w:val="000A6084"/>
    <w:rsid w:val="000A61A4"/>
    <w:rsid w:val="000A6269"/>
    <w:rsid w:val="000A691F"/>
    <w:rsid w:val="000A6E56"/>
    <w:rsid w:val="000A6E73"/>
    <w:rsid w:val="000A6EA2"/>
    <w:rsid w:val="000A7576"/>
    <w:rsid w:val="000A763B"/>
    <w:rsid w:val="000A7B1D"/>
    <w:rsid w:val="000A7E75"/>
    <w:rsid w:val="000B01B3"/>
    <w:rsid w:val="000B069D"/>
    <w:rsid w:val="000B0748"/>
    <w:rsid w:val="000B07A2"/>
    <w:rsid w:val="000B0FA4"/>
    <w:rsid w:val="000B12C2"/>
    <w:rsid w:val="000B13F0"/>
    <w:rsid w:val="000B1490"/>
    <w:rsid w:val="000B18C4"/>
    <w:rsid w:val="000B1DF8"/>
    <w:rsid w:val="000B1F33"/>
    <w:rsid w:val="000B2455"/>
    <w:rsid w:val="000B2872"/>
    <w:rsid w:val="000B2AAE"/>
    <w:rsid w:val="000B367C"/>
    <w:rsid w:val="000B37AD"/>
    <w:rsid w:val="000B3934"/>
    <w:rsid w:val="000B537A"/>
    <w:rsid w:val="000B53FA"/>
    <w:rsid w:val="000B559C"/>
    <w:rsid w:val="000B5FA8"/>
    <w:rsid w:val="000B6615"/>
    <w:rsid w:val="000B6C44"/>
    <w:rsid w:val="000B742C"/>
    <w:rsid w:val="000B771E"/>
    <w:rsid w:val="000C0003"/>
    <w:rsid w:val="000C0A0F"/>
    <w:rsid w:val="000C0BD5"/>
    <w:rsid w:val="000C1214"/>
    <w:rsid w:val="000C1806"/>
    <w:rsid w:val="000C1999"/>
    <w:rsid w:val="000C2114"/>
    <w:rsid w:val="000C2119"/>
    <w:rsid w:val="000C241B"/>
    <w:rsid w:val="000C2611"/>
    <w:rsid w:val="000C288C"/>
    <w:rsid w:val="000C44A4"/>
    <w:rsid w:val="000C4651"/>
    <w:rsid w:val="000C4738"/>
    <w:rsid w:val="000C47F0"/>
    <w:rsid w:val="000C49E0"/>
    <w:rsid w:val="000C5024"/>
    <w:rsid w:val="000C525D"/>
    <w:rsid w:val="000C52B4"/>
    <w:rsid w:val="000C5607"/>
    <w:rsid w:val="000C59AD"/>
    <w:rsid w:val="000C69B8"/>
    <w:rsid w:val="000C6B70"/>
    <w:rsid w:val="000C6F71"/>
    <w:rsid w:val="000C7195"/>
    <w:rsid w:val="000C7299"/>
    <w:rsid w:val="000C7831"/>
    <w:rsid w:val="000C7E34"/>
    <w:rsid w:val="000D027A"/>
    <w:rsid w:val="000D029D"/>
    <w:rsid w:val="000D04A3"/>
    <w:rsid w:val="000D07AD"/>
    <w:rsid w:val="000D092D"/>
    <w:rsid w:val="000D09BA"/>
    <w:rsid w:val="000D0C77"/>
    <w:rsid w:val="000D129A"/>
    <w:rsid w:val="000D18AB"/>
    <w:rsid w:val="000D1E88"/>
    <w:rsid w:val="000D1EC4"/>
    <w:rsid w:val="000D1FCB"/>
    <w:rsid w:val="000D207F"/>
    <w:rsid w:val="000D2118"/>
    <w:rsid w:val="000D2250"/>
    <w:rsid w:val="000D24BC"/>
    <w:rsid w:val="000D2BE4"/>
    <w:rsid w:val="000D3D57"/>
    <w:rsid w:val="000D3F0C"/>
    <w:rsid w:val="000D4E2E"/>
    <w:rsid w:val="000D4E4B"/>
    <w:rsid w:val="000D4F59"/>
    <w:rsid w:val="000D5248"/>
    <w:rsid w:val="000D55E7"/>
    <w:rsid w:val="000D5896"/>
    <w:rsid w:val="000D5E5B"/>
    <w:rsid w:val="000D62EE"/>
    <w:rsid w:val="000D69CA"/>
    <w:rsid w:val="000D6A6C"/>
    <w:rsid w:val="000D6DAB"/>
    <w:rsid w:val="000D6EF8"/>
    <w:rsid w:val="000D71AC"/>
    <w:rsid w:val="000D7429"/>
    <w:rsid w:val="000E02DF"/>
    <w:rsid w:val="000E0518"/>
    <w:rsid w:val="000E0643"/>
    <w:rsid w:val="000E0899"/>
    <w:rsid w:val="000E0C56"/>
    <w:rsid w:val="000E0F20"/>
    <w:rsid w:val="000E146F"/>
    <w:rsid w:val="000E27BE"/>
    <w:rsid w:val="000E28C1"/>
    <w:rsid w:val="000E28D8"/>
    <w:rsid w:val="000E3557"/>
    <w:rsid w:val="000E37E1"/>
    <w:rsid w:val="000E3A6E"/>
    <w:rsid w:val="000E425A"/>
    <w:rsid w:val="000E4435"/>
    <w:rsid w:val="000E46D4"/>
    <w:rsid w:val="000E4AB2"/>
    <w:rsid w:val="000E4E1C"/>
    <w:rsid w:val="000E5622"/>
    <w:rsid w:val="000E5671"/>
    <w:rsid w:val="000E76A0"/>
    <w:rsid w:val="000E7D5C"/>
    <w:rsid w:val="000F0001"/>
    <w:rsid w:val="000F07AB"/>
    <w:rsid w:val="000F09C4"/>
    <w:rsid w:val="000F0A82"/>
    <w:rsid w:val="000F0E92"/>
    <w:rsid w:val="000F1754"/>
    <w:rsid w:val="000F20EB"/>
    <w:rsid w:val="000F2894"/>
    <w:rsid w:val="000F2C37"/>
    <w:rsid w:val="000F2DC2"/>
    <w:rsid w:val="000F2F48"/>
    <w:rsid w:val="000F410C"/>
    <w:rsid w:val="000F5166"/>
    <w:rsid w:val="000F5EEC"/>
    <w:rsid w:val="000F60ED"/>
    <w:rsid w:val="000F6153"/>
    <w:rsid w:val="000F680A"/>
    <w:rsid w:val="000F68E6"/>
    <w:rsid w:val="000F6BC1"/>
    <w:rsid w:val="000F700D"/>
    <w:rsid w:val="000F7136"/>
    <w:rsid w:val="000F7310"/>
    <w:rsid w:val="000F7F63"/>
    <w:rsid w:val="00100A61"/>
    <w:rsid w:val="00100CF9"/>
    <w:rsid w:val="00100DC6"/>
    <w:rsid w:val="0010111B"/>
    <w:rsid w:val="0010119F"/>
    <w:rsid w:val="00101546"/>
    <w:rsid w:val="00101646"/>
    <w:rsid w:val="00101948"/>
    <w:rsid w:val="001019B1"/>
    <w:rsid w:val="00101EFE"/>
    <w:rsid w:val="001023FE"/>
    <w:rsid w:val="00102509"/>
    <w:rsid w:val="001026D2"/>
    <w:rsid w:val="00102E81"/>
    <w:rsid w:val="00103134"/>
    <w:rsid w:val="00104A69"/>
    <w:rsid w:val="00104FBF"/>
    <w:rsid w:val="00104FFC"/>
    <w:rsid w:val="00105233"/>
    <w:rsid w:val="001052C3"/>
    <w:rsid w:val="00105E92"/>
    <w:rsid w:val="00106AD8"/>
    <w:rsid w:val="00107786"/>
    <w:rsid w:val="0011015B"/>
    <w:rsid w:val="0011061B"/>
    <w:rsid w:val="00111122"/>
    <w:rsid w:val="00111BEC"/>
    <w:rsid w:val="00111C11"/>
    <w:rsid w:val="0011221A"/>
    <w:rsid w:val="0011251B"/>
    <w:rsid w:val="00112BC9"/>
    <w:rsid w:val="00113298"/>
    <w:rsid w:val="00113587"/>
    <w:rsid w:val="00113630"/>
    <w:rsid w:val="0011382E"/>
    <w:rsid w:val="00113EAF"/>
    <w:rsid w:val="001148CB"/>
    <w:rsid w:val="00114A00"/>
    <w:rsid w:val="00114DE0"/>
    <w:rsid w:val="001154E9"/>
    <w:rsid w:val="00115A3D"/>
    <w:rsid w:val="00115DCD"/>
    <w:rsid w:val="00116327"/>
    <w:rsid w:val="00116365"/>
    <w:rsid w:val="001165A3"/>
    <w:rsid w:val="001169EE"/>
    <w:rsid w:val="00116C02"/>
    <w:rsid w:val="00117762"/>
    <w:rsid w:val="00117901"/>
    <w:rsid w:val="00117C8C"/>
    <w:rsid w:val="00117F2B"/>
    <w:rsid w:val="001204B3"/>
    <w:rsid w:val="0012058A"/>
    <w:rsid w:val="001206F2"/>
    <w:rsid w:val="001209AA"/>
    <w:rsid w:val="00121D3A"/>
    <w:rsid w:val="00121F21"/>
    <w:rsid w:val="00122696"/>
    <w:rsid w:val="00122967"/>
    <w:rsid w:val="00122A26"/>
    <w:rsid w:val="00122B2B"/>
    <w:rsid w:val="0012326F"/>
    <w:rsid w:val="00123C8E"/>
    <w:rsid w:val="00123D46"/>
    <w:rsid w:val="00124544"/>
    <w:rsid w:val="00124659"/>
    <w:rsid w:val="00124CBC"/>
    <w:rsid w:val="00125358"/>
    <w:rsid w:val="0012547D"/>
    <w:rsid w:val="001254B3"/>
    <w:rsid w:val="00125603"/>
    <w:rsid w:val="001256BC"/>
    <w:rsid w:val="00125710"/>
    <w:rsid w:val="00125D79"/>
    <w:rsid w:val="001260A0"/>
    <w:rsid w:val="00126114"/>
    <w:rsid w:val="001263B3"/>
    <w:rsid w:val="001265A8"/>
    <w:rsid w:val="0012693B"/>
    <w:rsid w:val="00126C58"/>
    <w:rsid w:val="0012705B"/>
    <w:rsid w:val="001276E2"/>
    <w:rsid w:val="001278D6"/>
    <w:rsid w:val="00127B24"/>
    <w:rsid w:val="00127E24"/>
    <w:rsid w:val="00130175"/>
    <w:rsid w:val="00130698"/>
    <w:rsid w:val="00130D29"/>
    <w:rsid w:val="001314A3"/>
    <w:rsid w:val="00131673"/>
    <w:rsid w:val="001319DE"/>
    <w:rsid w:val="001319E9"/>
    <w:rsid w:val="00131A2A"/>
    <w:rsid w:val="001327AA"/>
    <w:rsid w:val="00132F66"/>
    <w:rsid w:val="00133C55"/>
    <w:rsid w:val="0013487D"/>
    <w:rsid w:val="001349D6"/>
    <w:rsid w:val="00134BDE"/>
    <w:rsid w:val="001358D4"/>
    <w:rsid w:val="00135A9D"/>
    <w:rsid w:val="00135D49"/>
    <w:rsid w:val="0013633B"/>
    <w:rsid w:val="00136544"/>
    <w:rsid w:val="00136633"/>
    <w:rsid w:val="0013669C"/>
    <w:rsid w:val="00136ABC"/>
    <w:rsid w:val="00136ACE"/>
    <w:rsid w:val="00136B44"/>
    <w:rsid w:val="00136B9F"/>
    <w:rsid w:val="00136F2B"/>
    <w:rsid w:val="0014062D"/>
    <w:rsid w:val="001421E1"/>
    <w:rsid w:val="0014236E"/>
    <w:rsid w:val="00142C50"/>
    <w:rsid w:val="00142F8D"/>
    <w:rsid w:val="00143216"/>
    <w:rsid w:val="0014360F"/>
    <w:rsid w:val="00143784"/>
    <w:rsid w:val="00143ACE"/>
    <w:rsid w:val="00143BB6"/>
    <w:rsid w:val="00143BD1"/>
    <w:rsid w:val="00144019"/>
    <w:rsid w:val="001441CF"/>
    <w:rsid w:val="0014459C"/>
    <w:rsid w:val="00144C8A"/>
    <w:rsid w:val="00144CCF"/>
    <w:rsid w:val="00144FFA"/>
    <w:rsid w:val="001450A8"/>
    <w:rsid w:val="0014578F"/>
    <w:rsid w:val="001457EE"/>
    <w:rsid w:val="00145AB2"/>
    <w:rsid w:val="001468E4"/>
    <w:rsid w:val="001469D5"/>
    <w:rsid w:val="00147230"/>
    <w:rsid w:val="00147780"/>
    <w:rsid w:val="00147AC9"/>
    <w:rsid w:val="001501BE"/>
    <w:rsid w:val="001503C4"/>
    <w:rsid w:val="00151347"/>
    <w:rsid w:val="00151387"/>
    <w:rsid w:val="001520AB"/>
    <w:rsid w:val="00152216"/>
    <w:rsid w:val="00152A35"/>
    <w:rsid w:val="0015371B"/>
    <w:rsid w:val="00153A0F"/>
    <w:rsid w:val="00153F74"/>
    <w:rsid w:val="00154617"/>
    <w:rsid w:val="001546F7"/>
    <w:rsid w:val="001555A9"/>
    <w:rsid w:val="00155B8D"/>
    <w:rsid w:val="00155BB7"/>
    <w:rsid w:val="00155E4D"/>
    <w:rsid w:val="00155F02"/>
    <w:rsid w:val="001561BE"/>
    <w:rsid w:val="001562D4"/>
    <w:rsid w:val="001565DF"/>
    <w:rsid w:val="0015673A"/>
    <w:rsid w:val="00156BA5"/>
    <w:rsid w:val="00156CDB"/>
    <w:rsid w:val="00156EFF"/>
    <w:rsid w:val="00156F14"/>
    <w:rsid w:val="00157017"/>
    <w:rsid w:val="00157AE2"/>
    <w:rsid w:val="00157D2F"/>
    <w:rsid w:val="00157D39"/>
    <w:rsid w:val="00160486"/>
    <w:rsid w:val="001605EF"/>
    <w:rsid w:val="0016094D"/>
    <w:rsid w:val="00160B33"/>
    <w:rsid w:val="001616B0"/>
    <w:rsid w:val="0016180E"/>
    <w:rsid w:val="001619C1"/>
    <w:rsid w:val="00161AAC"/>
    <w:rsid w:val="00161C0C"/>
    <w:rsid w:val="0016286C"/>
    <w:rsid w:val="00162873"/>
    <w:rsid w:val="00162BA4"/>
    <w:rsid w:val="00163106"/>
    <w:rsid w:val="00163391"/>
    <w:rsid w:val="001633CC"/>
    <w:rsid w:val="00163DDB"/>
    <w:rsid w:val="00164B7F"/>
    <w:rsid w:val="001655AC"/>
    <w:rsid w:val="001656D0"/>
    <w:rsid w:val="00165709"/>
    <w:rsid w:val="00166259"/>
    <w:rsid w:val="001662D7"/>
    <w:rsid w:val="00166D63"/>
    <w:rsid w:val="00166DFD"/>
    <w:rsid w:val="00167060"/>
    <w:rsid w:val="001671B7"/>
    <w:rsid w:val="001675D3"/>
    <w:rsid w:val="00167D9D"/>
    <w:rsid w:val="00170534"/>
    <w:rsid w:val="00170634"/>
    <w:rsid w:val="00170BD6"/>
    <w:rsid w:val="00170D36"/>
    <w:rsid w:val="00170ED2"/>
    <w:rsid w:val="00170FFC"/>
    <w:rsid w:val="00171191"/>
    <w:rsid w:val="0017151C"/>
    <w:rsid w:val="001716E0"/>
    <w:rsid w:val="001716FD"/>
    <w:rsid w:val="00171E8B"/>
    <w:rsid w:val="001720FE"/>
    <w:rsid w:val="00172577"/>
    <w:rsid w:val="00172D4E"/>
    <w:rsid w:val="001730C8"/>
    <w:rsid w:val="00173621"/>
    <w:rsid w:val="00173A2E"/>
    <w:rsid w:val="00173B18"/>
    <w:rsid w:val="00173BDD"/>
    <w:rsid w:val="0017497A"/>
    <w:rsid w:val="00174B8C"/>
    <w:rsid w:val="00174E11"/>
    <w:rsid w:val="00174E83"/>
    <w:rsid w:val="001753A8"/>
    <w:rsid w:val="00175C4F"/>
    <w:rsid w:val="0017643D"/>
    <w:rsid w:val="001770E5"/>
    <w:rsid w:val="0017788C"/>
    <w:rsid w:val="00177A55"/>
    <w:rsid w:val="00177AE5"/>
    <w:rsid w:val="00177C7D"/>
    <w:rsid w:val="00177F2B"/>
    <w:rsid w:val="00177FB4"/>
    <w:rsid w:val="00180E77"/>
    <w:rsid w:val="00181067"/>
    <w:rsid w:val="00182AD3"/>
    <w:rsid w:val="00182D1E"/>
    <w:rsid w:val="00182E6C"/>
    <w:rsid w:val="0018308F"/>
    <w:rsid w:val="001833B9"/>
    <w:rsid w:val="00184B26"/>
    <w:rsid w:val="001854FB"/>
    <w:rsid w:val="001855E9"/>
    <w:rsid w:val="00185BBC"/>
    <w:rsid w:val="00185BED"/>
    <w:rsid w:val="00185F42"/>
    <w:rsid w:val="0018643E"/>
    <w:rsid w:val="001871B2"/>
    <w:rsid w:val="0018756B"/>
    <w:rsid w:val="00187669"/>
    <w:rsid w:val="00187A4B"/>
    <w:rsid w:val="001900B7"/>
    <w:rsid w:val="0019030B"/>
    <w:rsid w:val="00190794"/>
    <w:rsid w:val="00190C84"/>
    <w:rsid w:val="00190CAF"/>
    <w:rsid w:val="00190D85"/>
    <w:rsid w:val="0019213C"/>
    <w:rsid w:val="001922F5"/>
    <w:rsid w:val="001925B5"/>
    <w:rsid w:val="00192D0B"/>
    <w:rsid w:val="001932DF"/>
    <w:rsid w:val="00193A06"/>
    <w:rsid w:val="001944EC"/>
    <w:rsid w:val="00194C36"/>
    <w:rsid w:val="001952B3"/>
    <w:rsid w:val="001954EA"/>
    <w:rsid w:val="001965F0"/>
    <w:rsid w:val="00196ECC"/>
    <w:rsid w:val="00196EDF"/>
    <w:rsid w:val="001972CB"/>
    <w:rsid w:val="00197FF3"/>
    <w:rsid w:val="001A042A"/>
    <w:rsid w:val="001A05AD"/>
    <w:rsid w:val="001A0613"/>
    <w:rsid w:val="001A0F5B"/>
    <w:rsid w:val="001A0FEE"/>
    <w:rsid w:val="001A101B"/>
    <w:rsid w:val="001A197A"/>
    <w:rsid w:val="001A2A2F"/>
    <w:rsid w:val="001A3175"/>
    <w:rsid w:val="001A4638"/>
    <w:rsid w:val="001A508B"/>
    <w:rsid w:val="001A5388"/>
    <w:rsid w:val="001A573D"/>
    <w:rsid w:val="001A5A65"/>
    <w:rsid w:val="001A604A"/>
    <w:rsid w:val="001A64DE"/>
    <w:rsid w:val="001A6589"/>
    <w:rsid w:val="001A70F4"/>
    <w:rsid w:val="001A7160"/>
    <w:rsid w:val="001A75EE"/>
    <w:rsid w:val="001A7623"/>
    <w:rsid w:val="001B0252"/>
    <w:rsid w:val="001B02C0"/>
    <w:rsid w:val="001B0A3D"/>
    <w:rsid w:val="001B0E14"/>
    <w:rsid w:val="001B13CB"/>
    <w:rsid w:val="001B192F"/>
    <w:rsid w:val="001B2297"/>
    <w:rsid w:val="001B231F"/>
    <w:rsid w:val="001B2A2A"/>
    <w:rsid w:val="001B2C46"/>
    <w:rsid w:val="001B2DBA"/>
    <w:rsid w:val="001B30D3"/>
    <w:rsid w:val="001B31DD"/>
    <w:rsid w:val="001B33AB"/>
    <w:rsid w:val="001B3866"/>
    <w:rsid w:val="001B3C05"/>
    <w:rsid w:val="001B3D74"/>
    <w:rsid w:val="001B4438"/>
    <w:rsid w:val="001B47EE"/>
    <w:rsid w:val="001B48E1"/>
    <w:rsid w:val="001B491B"/>
    <w:rsid w:val="001B498C"/>
    <w:rsid w:val="001B4FBF"/>
    <w:rsid w:val="001B54E0"/>
    <w:rsid w:val="001B5577"/>
    <w:rsid w:val="001B58DE"/>
    <w:rsid w:val="001B5996"/>
    <w:rsid w:val="001B6018"/>
    <w:rsid w:val="001B69E2"/>
    <w:rsid w:val="001B70C6"/>
    <w:rsid w:val="001B7766"/>
    <w:rsid w:val="001C02B9"/>
    <w:rsid w:val="001C05EF"/>
    <w:rsid w:val="001C0700"/>
    <w:rsid w:val="001C0B70"/>
    <w:rsid w:val="001C0DE8"/>
    <w:rsid w:val="001C0F27"/>
    <w:rsid w:val="001C101D"/>
    <w:rsid w:val="001C1352"/>
    <w:rsid w:val="001C1427"/>
    <w:rsid w:val="001C17EB"/>
    <w:rsid w:val="001C1E0C"/>
    <w:rsid w:val="001C20C7"/>
    <w:rsid w:val="001C27E0"/>
    <w:rsid w:val="001C27E9"/>
    <w:rsid w:val="001C2C49"/>
    <w:rsid w:val="001C2E0C"/>
    <w:rsid w:val="001C31BC"/>
    <w:rsid w:val="001C31CE"/>
    <w:rsid w:val="001C371D"/>
    <w:rsid w:val="001C4336"/>
    <w:rsid w:val="001C5578"/>
    <w:rsid w:val="001C5844"/>
    <w:rsid w:val="001C5CA7"/>
    <w:rsid w:val="001C5FCC"/>
    <w:rsid w:val="001C5FFB"/>
    <w:rsid w:val="001C688A"/>
    <w:rsid w:val="001C7E5E"/>
    <w:rsid w:val="001D1F61"/>
    <w:rsid w:val="001D22D8"/>
    <w:rsid w:val="001D2F0E"/>
    <w:rsid w:val="001D3708"/>
    <w:rsid w:val="001D3877"/>
    <w:rsid w:val="001D3C64"/>
    <w:rsid w:val="001D3FFD"/>
    <w:rsid w:val="001D41E4"/>
    <w:rsid w:val="001D4640"/>
    <w:rsid w:val="001D4D31"/>
    <w:rsid w:val="001D5ACF"/>
    <w:rsid w:val="001D5FA1"/>
    <w:rsid w:val="001D65B8"/>
    <w:rsid w:val="001D66A0"/>
    <w:rsid w:val="001D6C4E"/>
    <w:rsid w:val="001D6E15"/>
    <w:rsid w:val="001D77E7"/>
    <w:rsid w:val="001D7C07"/>
    <w:rsid w:val="001D7D78"/>
    <w:rsid w:val="001D7F63"/>
    <w:rsid w:val="001E02CB"/>
    <w:rsid w:val="001E0887"/>
    <w:rsid w:val="001E0A8A"/>
    <w:rsid w:val="001E165C"/>
    <w:rsid w:val="001E1D88"/>
    <w:rsid w:val="001E1DA3"/>
    <w:rsid w:val="001E2113"/>
    <w:rsid w:val="001E24E5"/>
    <w:rsid w:val="001E2B04"/>
    <w:rsid w:val="001E2B80"/>
    <w:rsid w:val="001E3AEC"/>
    <w:rsid w:val="001E4000"/>
    <w:rsid w:val="001E4BE1"/>
    <w:rsid w:val="001E4FDC"/>
    <w:rsid w:val="001E531F"/>
    <w:rsid w:val="001E595A"/>
    <w:rsid w:val="001E5B7D"/>
    <w:rsid w:val="001E5CCF"/>
    <w:rsid w:val="001E6727"/>
    <w:rsid w:val="001E6ADE"/>
    <w:rsid w:val="001E7050"/>
    <w:rsid w:val="001E778A"/>
    <w:rsid w:val="001E7801"/>
    <w:rsid w:val="001E7BE5"/>
    <w:rsid w:val="001E7E78"/>
    <w:rsid w:val="001EAAB8"/>
    <w:rsid w:val="001F036D"/>
    <w:rsid w:val="001F0A43"/>
    <w:rsid w:val="001F10C8"/>
    <w:rsid w:val="001F1787"/>
    <w:rsid w:val="001F1C6D"/>
    <w:rsid w:val="001F1EF5"/>
    <w:rsid w:val="001F2473"/>
    <w:rsid w:val="001F28C8"/>
    <w:rsid w:val="001F2927"/>
    <w:rsid w:val="001F2C17"/>
    <w:rsid w:val="001F2F28"/>
    <w:rsid w:val="001F2F8A"/>
    <w:rsid w:val="001F37DF"/>
    <w:rsid w:val="001F3C93"/>
    <w:rsid w:val="001F3D7E"/>
    <w:rsid w:val="001F3F97"/>
    <w:rsid w:val="001F4637"/>
    <w:rsid w:val="001F4D94"/>
    <w:rsid w:val="001F4FA4"/>
    <w:rsid w:val="001F538A"/>
    <w:rsid w:val="001F5950"/>
    <w:rsid w:val="001F5D44"/>
    <w:rsid w:val="001F5EBB"/>
    <w:rsid w:val="001F5ED7"/>
    <w:rsid w:val="001F6122"/>
    <w:rsid w:val="001F67B8"/>
    <w:rsid w:val="001F680C"/>
    <w:rsid w:val="001F6A37"/>
    <w:rsid w:val="001F6E2C"/>
    <w:rsid w:val="001F6FA4"/>
    <w:rsid w:val="001F7394"/>
    <w:rsid w:val="001F781F"/>
    <w:rsid w:val="001F7882"/>
    <w:rsid w:val="001F7D73"/>
    <w:rsid w:val="001F7EBE"/>
    <w:rsid w:val="001F7FBC"/>
    <w:rsid w:val="00200232"/>
    <w:rsid w:val="0020024D"/>
    <w:rsid w:val="0020034F"/>
    <w:rsid w:val="00200358"/>
    <w:rsid w:val="00200505"/>
    <w:rsid w:val="00200651"/>
    <w:rsid w:val="00200C70"/>
    <w:rsid w:val="002011EE"/>
    <w:rsid w:val="002020D1"/>
    <w:rsid w:val="002025E4"/>
    <w:rsid w:val="002029AC"/>
    <w:rsid w:val="00202F7E"/>
    <w:rsid w:val="00203283"/>
    <w:rsid w:val="00203612"/>
    <w:rsid w:val="00203D83"/>
    <w:rsid w:val="00204686"/>
    <w:rsid w:val="002048E0"/>
    <w:rsid w:val="00204B3E"/>
    <w:rsid w:val="00204CC4"/>
    <w:rsid w:val="00204FC4"/>
    <w:rsid w:val="00205173"/>
    <w:rsid w:val="0020538C"/>
    <w:rsid w:val="002063E1"/>
    <w:rsid w:val="002069E4"/>
    <w:rsid w:val="00206F78"/>
    <w:rsid w:val="00206FC7"/>
    <w:rsid w:val="0020735C"/>
    <w:rsid w:val="002075B0"/>
    <w:rsid w:val="00207803"/>
    <w:rsid w:val="0020799B"/>
    <w:rsid w:val="00210171"/>
    <w:rsid w:val="00210570"/>
    <w:rsid w:val="00210B12"/>
    <w:rsid w:val="0021222E"/>
    <w:rsid w:val="00212674"/>
    <w:rsid w:val="00212E94"/>
    <w:rsid w:val="002137B0"/>
    <w:rsid w:val="00213A0F"/>
    <w:rsid w:val="002146C0"/>
    <w:rsid w:val="002148D9"/>
    <w:rsid w:val="00214912"/>
    <w:rsid w:val="00214D68"/>
    <w:rsid w:val="00214E8D"/>
    <w:rsid w:val="00214F45"/>
    <w:rsid w:val="00215333"/>
    <w:rsid w:val="0021554C"/>
    <w:rsid w:val="00216647"/>
    <w:rsid w:val="00216CDC"/>
    <w:rsid w:val="00216F83"/>
    <w:rsid w:val="00217132"/>
    <w:rsid w:val="00217A3A"/>
    <w:rsid w:val="00217B8A"/>
    <w:rsid w:val="00217B91"/>
    <w:rsid w:val="00220256"/>
    <w:rsid w:val="0022033C"/>
    <w:rsid w:val="002207CB"/>
    <w:rsid w:val="00221718"/>
    <w:rsid w:val="002217B4"/>
    <w:rsid w:val="00221D9E"/>
    <w:rsid w:val="00222649"/>
    <w:rsid w:val="00222656"/>
    <w:rsid w:val="00222BF8"/>
    <w:rsid w:val="00222CAC"/>
    <w:rsid w:val="002235E0"/>
    <w:rsid w:val="0022396F"/>
    <w:rsid w:val="002239E3"/>
    <w:rsid w:val="00224206"/>
    <w:rsid w:val="002245AE"/>
    <w:rsid w:val="00224A62"/>
    <w:rsid w:val="0022541E"/>
    <w:rsid w:val="00225454"/>
    <w:rsid w:val="00225BE7"/>
    <w:rsid w:val="00226A67"/>
    <w:rsid w:val="00227619"/>
    <w:rsid w:val="002302D6"/>
    <w:rsid w:val="002307AE"/>
    <w:rsid w:val="00230A58"/>
    <w:rsid w:val="0023109B"/>
    <w:rsid w:val="002313A8"/>
    <w:rsid w:val="002318A6"/>
    <w:rsid w:val="002318D5"/>
    <w:rsid w:val="00231A0F"/>
    <w:rsid w:val="00231E7F"/>
    <w:rsid w:val="002321B1"/>
    <w:rsid w:val="002331B7"/>
    <w:rsid w:val="002337ED"/>
    <w:rsid w:val="00234083"/>
    <w:rsid w:val="002344E2"/>
    <w:rsid w:val="00234537"/>
    <w:rsid w:val="00234739"/>
    <w:rsid w:val="00235255"/>
    <w:rsid w:val="00235269"/>
    <w:rsid w:val="002353D6"/>
    <w:rsid w:val="00235D89"/>
    <w:rsid w:val="00236AD1"/>
    <w:rsid w:val="0023739C"/>
    <w:rsid w:val="00237BA2"/>
    <w:rsid w:val="00240B9D"/>
    <w:rsid w:val="00241AE7"/>
    <w:rsid w:val="00242666"/>
    <w:rsid w:val="002426E1"/>
    <w:rsid w:val="0024286F"/>
    <w:rsid w:val="002428F7"/>
    <w:rsid w:val="002436A7"/>
    <w:rsid w:val="00243FFA"/>
    <w:rsid w:val="00244C1F"/>
    <w:rsid w:val="0024512D"/>
    <w:rsid w:val="00245FA7"/>
    <w:rsid w:val="0024632C"/>
    <w:rsid w:val="00246519"/>
    <w:rsid w:val="0024679F"/>
    <w:rsid w:val="00247259"/>
    <w:rsid w:val="002475AA"/>
    <w:rsid w:val="00247E30"/>
    <w:rsid w:val="00250023"/>
    <w:rsid w:val="00250128"/>
    <w:rsid w:val="00250A43"/>
    <w:rsid w:val="00250EAD"/>
    <w:rsid w:val="0025156F"/>
    <w:rsid w:val="00251621"/>
    <w:rsid w:val="00252093"/>
    <w:rsid w:val="0025253A"/>
    <w:rsid w:val="002530E8"/>
    <w:rsid w:val="002533D8"/>
    <w:rsid w:val="002537F9"/>
    <w:rsid w:val="0025395F"/>
    <w:rsid w:val="002539F9"/>
    <w:rsid w:val="002543C0"/>
    <w:rsid w:val="00254B49"/>
    <w:rsid w:val="00254CE5"/>
    <w:rsid w:val="00255076"/>
    <w:rsid w:val="00255098"/>
    <w:rsid w:val="00255799"/>
    <w:rsid w:val="00255E5E"/>
    <w:rsid w:val="0025673B"/>
    <w:rsid w:val="0025697A"/>
    <w:rsid w:val="0025697E"/>
    <w:rsid w:val="00257167"/>
    <w:rsid w:val="002574A2"/>
    <w:rsid w:val="002577D3"/>
    <w:rsid w:val="00260594"/>
    <w:rsid w:val="0026092C"/>
    <w:rsid w:val="002619E2"/>
    <w:rsid w:val="00261C69"/>
    <w:rsid w:val="00262472"/>
    <w:rsid w:val="00262A19"/>
    <w:rsid w:val="00262F34"/>
    <w:rsid w:val="00263432"/>
    <w:rsid w:val="00263B1E"/>
    <w:rsid w:val="00264232"/>
    <w:rsid w:val="002642DD"/>
    <w:rsid w:val="002653D4"/>
    <w:rsid w:val="00265D9C"/>
    <w:rsid w:val="00265E5E"/>
    <w:rsid w:val="00265FB4"/>
    <w:rsid w:val="00266718"/>
    <w:rsid w:val="00266BEF"/>
    <w:rsid w:val="00266E97"/>
    <w:rsid w:val="002672D4"/>
    <w:rsid w:val="002675E8"/>
    <w:rsid w:val="00267C67"/>
    <w:rsid w:val="0027000A"/>
    <w:rsid w:val="002701FC"/>
    <w:rsid w:val="00270A82"/>
    <w:rsid w:val="002712C8"/>
    <w:rsid w:val="002713E9"/>
    <w:rsid w:val="0027175B"/>
    <w:rsid w:val="00272114"/>
    <w:rsid w:val="00272130"/>
    <w:rsid w:val="002724E1"/>
    <w:rsid w:val="00272AD0"/>
    <w:rsid w:val="00272FA5"/>
    <w:rsid w:val="002737D1"/>
    <w:rsid w:val="002739B6"/>
    <w:rsid w:val="00273A3B"/>
    <w:rsid w:val="00273EDA"/>
    <w:rsid w:val="00274459"/>
    <w:rsid w:val="0027465A"/>
    <w:rsid w:val="002746E9"/>
    <w:rsid w:val="002749AB"/>
    <w:rsid w:val="00274ACD"/>
    <w:rsid w:val="00274B6A"/>
    <w:rsid w:val="00274C8A"/>
    <w:rsid w:val="00274EE0"/>
    <w:rsid w:val="00274F54"/>
    <w:rsid w:val="00275148"/>
    <w:rsid w:val="0027515B"/>
    <w:rsid w:val="002753C6"/>
    <w:rsid w:val="00275716"/>
    <w:rsid w:val="00275E5F"/>
    <w:rsid w:val="0027686B"/>
    <w:rsid w:val="00277C9D"/>
    <w:rsid w:val="002805C3"/>
    <w:rsid w:val="0028076F"/>
    <w:rsid w:val="00280A2C"/>
    <w:rsid w:val="00280C35"/>
    <w:rsid w:val="00280C7B"/>
    <w:rsid w:val="00281839"/>
    <w:rsid w:val="00282019"/>
    <w:rsid w:val="00282216"/>
    <w:rsid w:val="0028224D"/>
    <w:rsid w:val="002833B5"/>
    <w:rsid w:val="00283B04"/>
    <w:rsid w:val="00283C34"/>
    <w:rsid w:val="0028410C"/>
    <w:rsid w:val="00284B26"/>
    <w:rsid w:val="002851FA"/>
    <w:rsid w:val="0028568C"/>
    <w:rsid w:val="002864F3"/>
    <w:rsid w:val="00286C61"/>
    <w:rsid w:val="00287E1E"/>
    <w:rsid w:val="00287F80"/>
    <w:rsid w:val="0029054C"/>
    <w:rsid w:val="002908DE"/>
    <w:rsid w:val="00291488"/>
    <w:rsid w:val="00291862"/>
    <w:rsid w:val="00291B50"/>
    <w:rsid w:val="00291CA6"/>
    <w:rsid w:val="002928DB"/>
    <w:rsid w:val="00292F47"/>
    <w:rsid w:val="0029304B"/>
    <w:rsid w:val="002930CE"/>
    <w:rsid w:val="00293203"/>
    <w:rsid w:val="00293808"/>
    <w:rsid w:val="00293F50"/>
    <w:rsid w:val="00294041"/>
    <w:rsid w:val="0029449D"/>
    <w:rsid w:val="00294A03"/>
    <w:rsid w:val="002950CF"/>
    <w:rsid w:val="002950DD"/>
    <w:rsid w:val="00295632"/>
    <w:rsid w:val="002956CD"/>
    <w:rsid w:val="00295845"/>
    <w:rsid w:val="0029633D"/>
    <w:rsid w:val="00296C56"/>
    <w:rsid w:val="002975C0"/>
    <w:rsid w:val="00297924"/>
    <w:rsid w:val="00297F6A"/>
    <w:rsid w:val="002A046B"/>
    <w:rsid w:val="002A0530"/>
    <w:rsid w:val="002A0535"/>
    <w:rsid w:val="002A0CEB"/>
    <w:rsid w:val="002A0E2B"/>
    <w:rsid w:val="002A0F44"/>
    <w:rsid w:val="002A17B5"/>
    <w:rsid w:val="002A1BCC"/>
    <w:rsid w:val="002A23F6"/>
    <w:rsid w:val="002A2F33"/>
    <w:rsid w:val="002A3002"/>
    <w:rsid w:val="002A3436"/>
    <w:rsid w:val="002A34EA"/>
    <w:rsid w:val="002A36A1"/>
    <w:rsid w:val="002A4771"/>
    <w:rsid w:val="002A4B14"/>
    <w:rsid w:val="002A50F6"/>
    <w:rsid w:val="002A5775"/>
    <w:rsid w:val="002A5961"/>
    <w:rsid w:val="002A5FB6"/>
    <w:rsid w:val="002A6996"/>
    <w:rsid w:val="002A6E5B"/>
    <w:rsid w:val="002A72C5"/>
    <w:rsid w:val="002A7514"/>
    <w:rsid w:val="002A7C62"/>
    <w:rsid w:val="002B0407"/>
    <w:rsid w:val="002B0F97"/>
    <w:rsid w:val="002B103B"/>
    <w:rsid w:val="002B1555"/>
    <w:rsid w:val="002B1723"/>
    <w:rsid w:val="002B18F6"/>
    <w:rsid w:val="002B1B1E"/>
    <w:rsid w:val="002B1C10"/>
    <w:rsid w:val="002B21D5"/>
    <w:rsid w:val="002B21DB"/>
    <w:rsid w:val="002B251C"/>
    <w:rsid w:val="002B2587"/>
    <w:rsid w:val="002B313A"/>
    <w:rsid w:val="002B399E"/>
    <w:rsid w:val="002B4988"/>
    <w:rsid w:val="002B4AAC"/>
    <w:rsid w:val="002B563B"/>
    <w:rsid w:val="002B5CA7"/>
    <w:rsid w:val="002B5D1E"/>
    <w:rsid w:val="002B5E1A"/>
    <w:rsid w:val="002B5FD8"/>
    <w:rsid w:val="002B6F75"/>
    <w:rsid w:val="002B7439"/>
    <w:rsid w:val="002B79D6"/>
    <w:rsid w:val="002B7A2B"/>
    <w:rsid w:val="002B7EE1"/>
    <w:rsid w:val="002C0625"/>
    <w:rsid w:val="002C0C87"/>
    <w:rsid w:val="002C12E6"/>
    <w:rsid w:val="002C1C3E"/>
    <w:rsid w:val="002C1F8F"/>
    <w:rsid w:val="002C1FE8"/>
    <w:rsid w:val="002C245E"/>
    <w:rsid w:val="002C274A"/>
    <w:rsid w:val="002C2AAC"/>
    <w:rsid w:val="002C2EB7"/>
    <w:rsid w:val="002C2F5C"/>
    <w:rsid w:val="002C347B"/>
    <w:rsid w:val="002C426C"/>
    <w:rsid w:val="002C45F8"/>
    <w:rsid w:val="002C468C"/>
    <w:rsid w:val="002C4A19"/>
    <w:rsid w:val="002C4F96"/>
    <w:rsid w:val="002C631E"/>
    <w:rsid w:val="002C646B"/>
    <w:rsid w:val="002C6575"/>
    <w:rsid w:val="002C6E5D"/>
    <w:rsid w:val="002C70B6"/>
    <w:rsid w:val="002D0216"/>
    <w:rsid w:val="002D04EB"/>
    <w:rsid w:val="002D0713"/>
    <w:rsid w:val="002D0EB4"/>
    <w:rsid w:val="002D0FE3"/>
    <w:rsid w:val="002D1C13"/>
    <w:rsid w:val="002D285F"/>
    <w:rsid w:val="002D29DC"/>
    <w:rsid w:val="002D2AC3"/>
    <w:rsid w:val="002D3F4F"/>
    <w:rsid w:val="002D426A"/>
    <w:rsid w:val="002D4289"/>
    <w:rsid w:val="002D42CA"/>
    <w:rsid w:val="002D45B1"/>
    <w:rsid w:val="002D4B52"/>
    <w:rsid w:val="002D4BBF"/>
    <w:rsid w:val="002D565C"/>
    <w:rsid w:val="002D577B"/>
    <w:rsid w:val="002D5B49"/>
    <w:rsid w:val="002D635F"/>
    <w:rsid w:val="002D6A1D"/>
    <w:rsid w:val="002D6F77"/>
    <w:rsid w:val="002D71E2"/>
    <w:rsid w:val="002D740D"/>
    <w:rsid w:val="002D7962"/>
    <w:rsid w:val="002E012B"/>
    <w:rsid w:val="002E08C2"/>
    <w:rsid w:val="002E0B63"/>
    <w:rsid w:val="002E108D"/>
    <w:rsid w:val="002E10C3"/>
    <w:rsid w:val="002E265F"/>
    <w:rsid w:val="002E29AE"/>
    <w:rsid w:val="002E2A02"/>
    <w:rsid w:val="002E442D"/>
    <w:rsid w:val="002E5934"/>
    <w:rsid w:val="002E5A2F"/>
    <w:rsid w:val="002E5F7A"/>
    <w:rsid w:val="002E5F81"/>
    <w:rsid w:val="002E6740"/>
    <w:rsid w:val="002E6EF2"/>
    <w:rsid w:val="002E73AF"/>
    <w:rsid w:val="002E76CE"/>
    <w:rsid w:val="002F07F6"/>
    <w:rsid w:val="002F097A"/>
    <w:rsid w:val="002F0AE6"/>
    <w:rsid w:val="002F0B9C"/>
    <w:rsid w:val="002F0DCE"/>
    <w:rsid w:val="002F0EFB"/>
    <w:rsid w:val="002F11EE"/>
    <w:rsid w:val="002F13B8"/>
    <w:rsid w:val="002F1706"/>
    <w:rsid w:val="002F1AE3"/>
    <w:rsid w:val="002F1E5E"/>
    <w:rsid w:val="002F1F1A"/>
    <w:rsid w:val="002F1F4B"/>
    <w:rsid w:val="002F22F1"/>
    <w:rsid w:val="002F2681"/>
    <w:rsid w:val="002F26B8"/>
    <w:rsid w:val="002F2AB1"/>
    <w:rsid w:val="002F2AEE"/>
    <w:rsid w:val="002F2B4B"/>
    <w:rsid w:val="002F3819"/>
    <w:rsid w:val="002F3FE8"/>
    <w:rsid w:val="002F56E5"/>
    <w:rsid w:val="002F5A14"/>
    <w:rsid w:val="002F5A4B"/>
    <w:rsid w:val="002F6175"/>
    <w:rsid w:val="002F6271"/>
    <w:rsid w:val="002F63D3"/>
    <w:rsid w:val="002F6C2E"/>
    <w:rsid w:val="002F6FF5"/>
    <w:rsid w:val="002F763E"/>
    <w:rsid w:val="002F7836"/>
    <w:rsid w:val="002F7B08"/>
    <w:rsid w:val="002F7BC8"/>
    <w:rsid w:val="0030011A"/>
    <w:rsid w:val="00300196"/>
    <w:rsid w:val="003002AD"/>
    <w:rsid w:val="003009C4"/>
    <w:rsid w:val="003010A4"/>
    <w:rsid w:val="00301B3B"/>
    <w:rsid w:val="00302162"/>
    <w:rsid w:val="003025A6"/>
    <w:rsid w:val="003028C2"/>
    <w:rsid w:val="00302DD7"/>
    <w:rsid w:val="003034A1"/>
    <w:rsid w:val="003034E9"/>
    <w:rsid w:val="003039D3"/>
    <w:rsid w:val="00303A76"/>
    <w:rsid w:val="00303C63"/>
    <w:rsid w:val="00303CFF"/>
    <w:rsid w:val="0030436B"/>
    <w:rsid w:val="00304440"/>
    <w:rsid w:val="003046E1"/>
    <w:rsid w:val="00304B53"/>
    <w:rsid w:val="00305092"/>
    <w:rsid w:val="00305318"/>
    <w:rsid w:val="00306906"/>
    <w:rsid w:val="00306E4E"/>
    <w:rsid w:val="00307D5B"/>
    <w:rsid w:val="00310B32"/>
    <w:rsid w:val="00310CF8"/>
    <w:rsid w:val="00310D90"/>
    <w:rsid w:val="00310F29"/>
    <w:rsid w:val="0031137E"/>
    <w:rsid w:val="003113A8"/>
    <w:rsid w:val="00311520"/>
    <w:rsid w:val="00311A26"/>
    <w:rsid w:val="003130AA"/>
    <w:rsid w:val="00313281"/>
    <w:rsid w:val="00313579"/>
    <w:rsid w:val="00313A00"/>
    <w:rsid w:val="00313AA2"/>
    <w:rsid w:val="003140A6"/>
    <w:rsid w:val="00314A40"/>
    <w:rsid w:val="00314D1A"/>
    <w:rsid w:val="00315476"/>
    <w:rsid w:val="00316191"/>
    <w:rsid w:val="00316207"/>
    <w:rsid w:val="00317497"/>
    <w:rsid w:val="00317C9D"/>
    <w:rsid w:val="00318E08"/>
    <w:rsid w:val="00320300"/>
    <w:rsid w:val="00320E40"/>
    <w:rsid w:val="00320E4E"/>
    <w:rsid w:val="00320FC3"/>
    <w:rsid w:val="0032112B"/>
    <w:rsid w:val="00321D70"/>
    <w:rsid w:val="00322186"/>
    <w:rsid w:val="00322320"/>
    <w:rsid w:val="00322540"/>
    <w:rsid w:val="0032286F"/>
    <w:rsid w:val="00322E11"/>
    <w:rsid w:val="003231D9"/>
    <w:rsid w:val="0032338A"/>
    <w:rsid w:val="0032383E"/>
    <w:rsid w:val="00323F72"/>
    <w:rsid w:val="00324392"/>
    <w:rsid w:val="003251B3"/>
    <w:rsid w:val="0032563F"/>
    <w:rsid w:val="003258A3"/>
    <w:rsid w:val="00325CB7"/>
    <w:rsid w:val="00325F35"/>
    <w:rsid w:val="00326327"/>
    <w:rsid w:val="00326C92"/>
    <w:rsid w:val="00326F47"/>
    <w:rsid w:val="00327048"/>
    <w:rsid w:val="003270C9"/>
    <w:rsid w:val="00327D45"/>
    <w:rsid w:val="003300FB"/>
    <w:rsid w:val="00330380"/>
    <w:rsid w:val="0033099B"/>
    <w:rsid w:val="00330C62"/>
    <w:rsid w:val="00330D4A"/>
    <w:rsid w:val="00331765"/>
    <w:rsid w:val="00331990"/>
    <w:rsid w:val="0033204B"/>
    <w:rsid w:val="003320B1"/>
    <w:rsid w:val="0033215B"/>
    <w:rsid w:val="00332968"/>
    <w:rsid w:val="003329A0"/>
    <w:rsid w:val="00332B17"/>
    <w:rsid w:val="00332B7A"/>
    <w:rsid w:val="00332BAB"/>
    <w:rsid w:val="00332CE6"/>
    <w:rsid w:val="00332FFE"/>
    <w:rsid w:val="0033382A"/>
    <w:rsid w:val="00333F3A"/>
    <w:rsid w:val="003341C7"/>
    <w:rsid w:val="0033459A"/>
    <w:rsid w:val="003345CB"/>
    <w:rsid w:val="0033479D"/>
    <w:rsid w:val="00334A06"/>
    <w:rsid w:val="003371A6"/>
    <w:rsid w:val="003400D8"/>
    <w:rsid w:val="00340125"/>
    <w:rsid w:val="00340131"/>
    <w:rsid w:val="003407CD"/>
    <w:rsid w:val="00340AA2"/>
    <w:rsid w:val="00340BF7"/>
    <w:rsid w:val="00340CCF"/>
    <w:rsid w:val="00340CD4"/>
    <w:rsid w:val="00340EDE"/>
    <w:rsid w:val="00340F8A"/>
    <w:rsid w:val="003415E4"/>
    <w:rsid w:val="003415E5"/>
    <w:rsid w:val="00341A8D"/>
    <w:rsid w:val="00342688"/>
    <w:rsid w:val="003426D6"/>
    <w:rsid w:val="0034342E"/>
    <w:rsid w:val="00343592"/>
    <w:rsid w:val="00343709"/>
    <w:rsid w:val="003439E9"/>
    <w:rsid w:val="00344152"/>
    <w:rsid w:val="00344B21"/>
    <w:rsid w:val="00344DEF"/>
    <w:rsid w:val="00344EFE"/>
    <w:rsid w:val="00344FB4"/>
    <w:rsid w:val="00345077"/>
    <w:rsid w:val="00345F59"/>
    <w:rsid w:val="00346168"/>
    <w:rsid w:val="00346AB6"/>
    <w:rsid w:val="0034705D"/>
    <w:rsid w:val="00347459"/>
    <w:rsid w:val="00347B54"/>
    <w:rsid w:val="00350042"/>
    <w:rsid w:val="003503E1"/>
    <w:rsid w:val="00350CE9"/>
    <w:rsid w:val="00350E83"/>
    <w:rsid w:val="00350EFE"/>
    <w:rsid w:val="00350FD8"/>
    <w:rsid w:val="003514DF"/>
    <w:rsid w:val="003520B3"/>
    <w:rsid w:val="0035223E"/>
    <w:rsid w:val="00352459"/>
    <w:rsid w:val="00352596"/>
    <w:rsid w:val="00352A98"/>
    <w:rsid w:val="0035367F"/>
    <w:rsid w:val="003536CB"/>
    <w:rsid w:val="00353E3C"/>
    <w:rsid w:val="00354132"/>
    <w:rsid w:val="00354191"/>
    <w:rsid w:val="003544EB"/>
    <w:rsid w:val="003546F3"/>
    <w:rsid w:val="00354706"/>
    <w:rsid w:val="00355394"/>
    <w:rsid w:val="0035559D"/>
    <w:rsid w:val="003557CC"/>
    <w:rsid w:val="0035606C"/>
    <w:rsid w:val="003562A7"/>
    <w:rsid w:val="00356D27"/>
    <w:rsid w:val="00357215"/>
    <w:rsid w:val="00357655"/>
    <w:rsid w:val="003577B3"/>
    <w:rsid w:val="00357963"/>
    <w:rsid w:val="003605A4"/>
    <w:rsid w:val="003608DA"/>
    <w:rsid w:val="00362731"/>
    <w:rsid w:val="0036286A"/>
    <w:rsid w:val="00362947"/>
    <w:rsid w:val="00362FDF"/>
    <w:rsid w:val="0036309A"/>
    <w:rsid w:val="003633FC"/>
    <w:rsid w:val="0036414A"/>
    <w:rsid w:val="0036433C"/>
    <w:rsid w:val="00364439"/>
    <w:rsid w:val="00364AEB"/>
    <w:rsid w:val="00364C21"/>
    <w:rsid w:val="00364F36"/>
    <w:rsid w:val="00364F80"/>
    <w:rsid w:val="00364FE1"/>
    <w:rsid w:val="0036574B"/>
    <w:rsid w:val="00365E74"/>
    <w:rsid w:val="0036628B"/>
    <w:rsid w:val="003663E1"/>
    <w:rsid w:val="003667FF"/>
    <w:rsid w:val="00366878"/>
    <w:rsid w:val="00366920"/>
    <w:rsid w:val="00366A10"/>
    <w:rsid w:val="00366E8C"/>
    <w:rsid w:val="003672BF"/>
    <w:rsid w:val="0036766A"/>
    <w:rsid w:val="003676DA"/>
    <w:rsid w:val="00367A8E"/>
    <w:rsid w:val="00367FFC"/>
    <w:rsid w:val="003700D0"/>
    <w:rsid w:val="00370329"/>
    <w:rsid w:val="00370FB6"/>
    <w:rsid w:val="00371378"/>
    <w:rsid w:val="0037144D"/>
    <w:rsid w:val="003715B3"/>
    <w:rsid w:val="003715E0"/>
    <w:rsid w:val="00371B2E"/>
    <w:rsid w:val="00371DC4"/>
    <w:rsid w:val="0037256E"/>
    <w:rsid w:val="0037299F"/>
    <w:rsid w:val="003739A9"/>
    <w:rsid w:val="00374039"/>
    <w:rsid w:val="00374632"/>
    <w:rsid w:val="003746D4"/>
    <w:rsid w:val="003750BF"/>
    <w:rsid w:val="00375A46"/>
    <w:rsid w:val="00375AE8"/>
    <w:rsid w:val="00375B2E"/>
    <w:rsid w:val="00375D93"/>
    <w:rsid w:val="00375DCE"/>
    <w:rsid w:val="00376BCD"/>
    <w:rsid w:val="00377390"/>
    <w:rsid w:val="003774FE"/>
    <w:rsid w:val="00377B9B"/>
    <w:rsid w:val="00380360"/>
    <w:rsid w:val="00380723"/>
    <w:rsid w:val="00380890"/>
    <w:rsid w:val="00380FBB"/>
    <w:rsid w:val="0038107B"/>
    <w:rsid w:val="00381082"/>
    <w:rsid w:val="00382052"/>
    <w:rsid w:val="00382494"/>
    <w:rsid w:val="00382662"/>
    <w:rsid w:val="00383383"/>
    <w:rsid w:val="003835E8"/>
    <w:rsid w:val="003837ED"/>
    <w:rsid w:val="0038396E"/>
    <w:rsid w:val="00384931"/>
    <w:rsid w:val="00384BFC"/>
    <w:rsid w:val="00384CD4"/>
    <w:rsid w:val="0038501B"/>
    <w:rsid w:val="003855A9"/>
    <w:rsid w:val="0038579B"/>
    <w:rsid w:val="00385877"/>
    <w:rsid w:val="00385A62"/>
    <w:rsid w:val="00386548"/>
    <w:rsid w:val="00386747"/>
    <w:rsid w:val="00386F05"/>
    <w:rsid w:val="00386FF0"/>
    <w:rsid w:val="003871F9"/>
    <w:rsid w:val="0039040A"/>
    <w:rsid w:val="003904B7"/>
    <w:rsid w:val="003904CA"/>
    <w:rsid w:val="0039052A"/>
    <w:rsid w:val="00390628"/>
    <w:rsid w:val="00391366"/>
    <w:rsid w:val="00391AAB"/>
    <w:rsid w:val="003921B7"/>
    <w:rsid w:val="00392635"/>
    <w:rsid w:val="00392C25"/>
    <w:rsid w:val="00393029"/>
    <w:rsid w:val="00393175"/>
    <w:rsid w:val="003934DB"/>
    <w:rsid w:val="00393A74"/>
    <w:rsid w:val="00393B79"/>
    <w:rsid w:val="003957AA"/>
    <w:rsid w:val="00395E9B"/>
    <w:rsid w:val="003961EE"/>
    <w:rsid w:val="00396505"/>
    <w:rsid w:val="00396D15"/>
    <w:rsid w:val="0039739C"/>
    <w:rsid w:val="003979E9"/>
    <w:rsid w:val="003A01BB"/>
    <w:rsid w:val="003A02AC"/>
    <w:rsid w:val="003A05BC"/>
    <w:rsid w:val="003A0761"/>
    <w:rsid w:val="003A0CB5"/>
    <w:rsid w:val="003A0EDE"/>
    <w:rsid w:val="003A14D3"/>
    <w:rsid w:val="003A157E"/>
    <w:rsid w:val="003A1EE0"/>
    <w:rsid w:val="003A22F4"/>
    <w:rsid w:val="003A2579"/>
    <w:rsid w:val="003A2A49"/>
    <w:rsid w:val="003A3857"/>
    <w:rsid w:val="003A3D6E"/>
    <w:rsid w:val="003A3F75"/>
    <w:rsid w:val="003A4195"/>
    <w:rsid w:val="003A458E"/>
    <w:rsid w:val="003A47DD"/>
    <w:rsid w:val="003A4BED"/>
    <w:rsid w:val="003A5EC0"/>
    <w:rsid w:val="003A60E9"/>
    <w:rsid w:val="003A6F6A"/>
    <w:rsid w:val="003B01E7"/>
    <w:rsid w:val="003B0293"/>
    <w:rsid w:val="003B0478"/>
    <w:rsid w:val="003B14B5"/>
    <w:rsid w:val="003B1CF0"/>
    <w:rsid w:val="003B1DF1"/>
    <w:rsid w:val="003B1FE5"/>
    <w:rsid w:val="003B21B2"/>
    <w:rsid w:val="003B3740"/>
    <w:rsid w:val="003B3B7E"/>
    <w:rsid w:val="003B41E0"/>
    <w:rsid w:val="003B454D"/>
    <w:rsid w:val="003B461C"/>
    <w:rsid w:val="003B4836"/>
    <w:rsid w:val="003B4CFF"/>
    <w:rsid w:val="003B519F"/>
    <w:rsid w:val="003B5936"/>
    <w:rsid w:val="003B5EBB"/>
    <w:rsid w:val="003B5FC1"/>
    <w:rsid w:val="003B6BB8"/>
    <w:rsid w:val="003B6D0E"/>
    <w:rsid w:val="003B70A4"/>
    <w:rsid w:val="003B7783"/>
    <w:rsid w:val="003B7E68"/>
    <w:rsid w:val="003C0430"/>
    <w:rsid w:val="003C05D8"/>
    <w:rsid w:val="003C0728"/>
    <w:rsid w:val="003C07F4"/>
    <w:rsid w:val="003C10EB"/>
    <w:rsid w:val="003C159F"/>
    <w:rsid w:val="003C1B03"/>
    <w:rsid w:val="003C2052"/>
    <w:rsid w:val="003C23B0"/>
    <w:rsid w:val="003C2AFD"/>
    <w:rsid w:val="003C2B68"/>
    <w:rsid w:val="003C2D3F"/>
    <w:rsid w:val="003C3A95"/>
    <w:rsid w:val="003C3C81"/>
    <w:rsid w:val="003C42FB"/>
    <w:rsid w:val="003C4755"/>
    <w:rsid w:val="003C51D6"/>
    <w:rsid w:val="003C52A2"/>
    <w:rsid w:val="003C5377"/>
    <w:rsid w:val="003C55AB"/>
    <w:rsid w:val="003C57A1"/>
    <w:rsid w:val="003C591E"/>
    <w:rsid w:val="003C5A3B"/>
    <w:rsid w:val="003C6070"/>
    <w:rsid w:val="003C679C"/>
    <w:rsid w:val="003C67C9"/>
    <w:rsid w:val="003C68DE"/>
    <w:rsid w:val="003C6A85"/>
    <w:rsid w:val="003C714F"/>
    <w:rsid w:val="003C7204"/>
    <w:rsid w:val="003C7C89"/>
    <w:rsid w:val="003C7D1B"/>
    <w:rsid w:val="003D09A6"/>
    <w:rsid w:val="003D0ADE"/>
    <w:rsid w:val="003D0D0D"/>
    <w:rsid w:val="003D0D8A"/>
    <w:rsid w:val="003D1A33"/>
    <w:rsid w:val="003D24EF"/>
    <w:rsid w:val="003D29F1"/>
    <w:rsid w:val="003D2F77"/>
    <w:rsid w:val="003D2F88"/>
    <w:rsid w:val="003D326A"/>
    <w:rsid w:val="003D3D1D"/>
    <w:rsid w:val="003D4B60"/>
    <w:rsid w:val="003D51D3"/>
    <w:rsid w:val="003D602D"/>
    <w:rsid w:val="003D6263"/>
    <w:rsid w:val="003D6882"/>
    <w:rsid w:val="003D72E6"/>
    <w:rsid w:val="003D734F"/>
    <w:rsid w:val="003D7653"/>
    <w:rsid w:val="003D776F"/>
    <w:rsid w:val="003D7794"/>
    <w:rsid w:val="003D7F8D"/>
    <w:rsid w:val="003D7FEC"/>
    <w:rsid w:val="003E0EEF"/>
    <w:rsid w:val="003E1678"/>
    <w:rsid w:val="003E16A8"/>
    <w:rsid w:val="003E199E"/>
    <w:rsid w:val="003E1DF3"/>
    <w:rsid w:val="003E25EF"/>
    <w:rsid w:val="003E2A95"/>
    <w:rsid w:val="003E3A38"/>
    <w:rsid w:val="003E3E0F"/>
    <w:rsid w:val="003E40D4"/>
    <w:rsid w:val="003E4221"/>
    <w:rsid w:val="003E45A1"/>
    <w:rsid w:val="003E4840"/>
    <w:rsid w:val="003E4C20"/>
    <w:rsid w:val="003E4F31"/>
    <w:rsid w:val="003E4FD6"/>
    <w:rsid w:val="003E5052"/>
    <w:rsid w:val="003E595E"/>
    <w:rsid w:val="003E6B5A"/>
    <w:rsid w:val="003E6BF9"/>
    <w:rsid w:val="003E6C7A"/>
    <w:rsid w:val="003E7291"/>
    <w:rsid w:val="003E7E1F"/>
    <w:rsid w:val="003E7E92"/>
    <w:rsid w:val="003F0143"/>
    <w:rsid w:val="003F0149"/>
    <w:rsid w:val="003F025E"/>
    <w:rsid w:val="003F02DD"/>
    <w:rsid w:val="003F0CA4"/>
    <w:rsid w:val="003F0EA5"/>
    <w:rsid w:val="003F143C"/>
    <w:rsid w:val="003F1B59"/>
    <w:rsid w:val="003F1E33"/>
    <w:rsid w:val="003F1EF1"/>
    <w:rsid w:val="003F20C6"/>
    <w:rsid w:val="003F22B1"/>
    <w:rsid w:val="003F27F6"/>
    <w:rsid w:val="003F2F9E"/>
    <w:rsid w:val="003F310D"/>
    <w:rsid w:val="003F37FB"/>
    <w:rsid w:val="003F388D"/>
    <w:rsid w:val="003F3E88"/>
    <w:rsid w:val="003F4004"/>
    <w:rsid w:val="003F4763"/>
    <w:rsid w:val="003F4D12"/>
    <w:rsid w:val="003F4D60"/>
    <w:rsid w:val="003F55C3"/>
    <w:rsid w:val="003F5755"/>
    <w:rsid w:val="003F57B9"/>
    <w:rsid w:val="003F6A9E"/>
    <w:rsid w:val="003F789B"/>
    <w:rsid w:val="003F79A8"/>
    <w:rsid w:val="003F7A82"/>
    <w:rsid w:val="003F7F4B"/>
    <w:rsid w:val="004000BA"/>
    <w:rsid w:val="00400328"/>
    <w:rsid w:val="00400726"/>
    <w:rsid w:val="004010D5"/>
    <w:rsid w:val="00401156"/>
    <w:rsid w:val="00401DC6"/>
    <w:rsid w:val="004037B3"/>
    <w:rsid w:val="004038EB"/>
    <w:rsid w:val="00403EE8"/>
    <w:rsid w:val="004049F0"/>
    <w:rsid w:val="00404AD0"/>
    <w:rsid w:val="00404BE1"/>
    <w:rsid w:val="004055C3"/>
    <w:rsid w:val="004058BF"/>
    <w:rsid w:val="00405998"/>
    <w:rsid w:val="00406538"/>
    <w:rsid w:val="00406719"/>
    <w:rsid w:val="004067DA"/>
    <w:rsid w:val="0040703A"/>
    <w:rsid w:val="0040772C"/>
    <w:rsid w:val="00410035"/>
    <w:rsid w:val="004100B9"/>
    <w:rsid w:val="004104FA"/>
    <w:rsid w:val="00410924"/>
    <w:rsid w:val="0041185E"/>
    <w:rsid w:val="00411C3A"/>
    <w:rsid w:val="0041219B"/>
    <w:rsid w:val="00412796"/>
    <w:rsid w:val="00413148"/>
    <w:rsid w:val="00413456"/>
    <w:rsid w:val="00413979"/>
    <w:rsid w:val="00413E96"/>
    <w:rsid w:val="00414811"/>
    <w:rsid w:val="00414A39"/>
    <w:rsid w:val="0041506C"/>
    <w:rsid w:val="004152C9"/>
    <w:rsid w:val="004153AC"/>
    <w:rsid w:val="00415447"/>
    <w:rsid w:val="00415F5F"/>
    <w:rsid w:val="004164B1"/>
    <w:rsid w:val="0041712F"/>
    <w:rsid w:val="00417496"/>
    <w:rsid w:val="004174B3"/>
    <w:rsid w:val="004175A5"/>
    <w:rsid w:val="0041763D"/>
    <w:rsid w:val="0042016D"/>
    <w:rsid w:val="004202BA"/>
    <w:rsid w:val="004204DC"/>
    <w:rsid w:val="00420708"/>
    <w:rsid w:val="00421009"/>
    <w:rsid w:val="0042151D"/>
    <w:rsid w:val="00422128"/>
    <w:rsid w:val="0042258D"/>
    <w:rsid w:val="004227A0"/>
    <w:rsid w:val="00422B4A"/>
    <w:rsid w:val="00423318"/>
    <w:rsid w:val="004239AC"/>
    <w:rsid w:val="00424F30"/>
    <w:rsid w:val="004251C9"/>
    <w:rsid w:val="00425A60"/>
    <w:rsid w:val="00425ADF"/>
    <w:rsid w:val="0042616C"/>
    <w:rsid w:val="00426882"/>
    <w:rsid w:val="00426C9F"/>
    <w:rsid w:val="00426DD5"/>
    <w:rsid w:val="00426FF6"/>
    <w:rsid w:val="00427D9D"/>
    <w:rsid w:val="00430286"/>
    <w:rsid w:val="004303B0"/>
    <w:rsid w:val="0043057D"/>
    <w:rsid w:val="00430746"/>
    <w:rsid w:val="00430FC0"/>
    <w:rsid w:val="004312C8"/>
    <w:rsid w:val="004313C8"/>
    <w:rsid w:val="00431A9C"/>
    <w:rsid w:val="00432680"/>
    <w:rsid w:val="00432AD0"/>
    <w:rsid w:val="00433107"/>
    <w:rsid w:val="00433237"/>
    <w:rsid w:val="004336CA"/>
    <w:rsid w:val="00433B98"/>
    <w:rsid w:val="00433D25"/>
    <w:rsid w:val="00433E5A"/>
    <w:rsid w:val="0043412B"/>
    <w:rsid w:val="00435051"/>
    <w:rsid w:val="0043542F"/>
    <w:rsid w:val="00435E89"/>
    <w:rsid w:val="00435EEA"/>
    <w:rsid w:val="00436097"/>
    <w:rsid w:val="00436173"/>
    <w:rsid w:val="00436836"/>
    <w:rsid w:val="00436CF6"/>
    <w:rsid w:val="0043743D"/>
    <w:rsid w:val="00437F05"/>
    <w:rsid w:val="0044031B"/>
    <w:rsid w:val="00440A17"/>
    <w:rsid w:val="00440D66"/>
    <w:rsid w:val="00442546"/>
    <w:rsid w:val="004431CD"/>
    <w:rsid w:val="00443383"/>
    <w:rsid w:val="004439B2"/>
    <w:rsid w:val="00444A3B"/>
    <w:rsid w:val="00445086"/>
    <w:rsid w:val="004450D9"/>
    <w:rsid w:val="00445386"/>
    <w:rsid w:val="004457A4"/>
    <w:rsid w:val="00445A64"/>
    <w:rsid w:val="00445B25"/>
    <w:rsid w:val="00446784"/>
    <w:rsid w:val="00447867"/>
    <w:rsid w:val="00447A35"/>
    <w:rsid w:val="00447C1F"/>
    <w:rsid w:val="00447D5C"/>
    <w:rsid w:val="00447F5B"/>
    <w:rsid w:val="004501F1"/>
    <w:rsid w:val="00450417"/>
    <w:rsid w:val="004508D2"/>
    <w:rsid w:val="0045090F"/>
    <w:rsid w:val="00450A50"/>
    <w:rsid w:val="00450C4F"/>
    <w:rsid w:val="0045233A"/>
    <w:rsid w:val="00452D2A"/>
    <w:rsid w:val="0045369C"/>
    <w:rsid w:val="00454325"/>
    <w:rsid w:val="00454EB6"/>
    <w:rsid w:val="004551C9"/>
    <w:rsid w:val="0045583B"/>
    <w:rsid w:val="00455B1F"/>
    <w:rsid w:val="0045613F"/>
    <w:rsid w:val="00456615"/>
    <w:rsid w:val="0045695F"/>
    <w:rsid w:val="00456EA1"/>
    <w:rsid w:val="004573BF"/>
    <w:rsid w:val="00457817"/>
    <w:rsid w:val="00457839"/>
    <w:rsid w:val="00457BAD"/>
    <w:rsid w:val="00457F46"/>
    <w:rsid w:val="00460E18"/>
    <w:rsid w:val="004615A6"/>
    <w:rsid w:val="00461F79"/>
    <w:rsid w:val="004625E1"/>
    <w:rsid w:val="00462652"/>
    <w:rsid w:val="00462DDE"/>
    <w:rsid w:val="00462ED4"/>
    <w:rsid w:val="00462EDF"/>
    <w:rsid w:val="004638E0"/>
    <w:rsid w:val="00463D94"/>
    <w:rsid w:val="00464157"/>
    <w:rsid w:val="004644B8"/>
    <w:rsid w:val="004644FE"/>
    <w:rsid w:val="00464695"/>
    <w:rsid w:val="00464B8A"/>
    <w:rsid w:val="00464BE0"/>
    <w:rsid w:val="00464EE6"/>
    <w:rsid w:val="0046504E"/>
    <w:rsid w:val="00466EEA"/>
    <w:rsid w:val="004679A0"/>
    <w:rsid w:val="00467C3F"/>
    <w:rsid w:val="00467C42"/>
    <w:rsid w:val="00467E51"/>
    <w:rsid w:val="00467F41"/>
    <w:rsid w:val="0047025F"/>
    <w:rsid w:val="004704AE"/>
    <w:rsid w:val="004706E6"/>
    <w:rsid w:val="00470762"/>
    <w:rsid w:val="00470A53"/>
    <w:rsid w:val="00470C3E"/>
    <w:rsid w:val="004711BF"/>
    <w:rsid w:val="004711C4"/>
    <w:rsid w:val="0047135D"/>
    <w:rsid w:val="0047149E"/>
    <w:rsid w:val="00471785"/>
    <w:rsid w:val="004717A6"/>
    <w:rsid w:val="00471BA7"/>
    <w:rsid w:val="00471C64"/>
    <w:rsid w:val="0047232F"/>
    <w:rsid w:val="0047249A"/>
    <w:rsid w:val="004726C5"/>
    <w:rsid w:val="00472DBD"/>
    <w:rsid w:val="00473BCA"/>
    <w:rsid w:val="00473D77"/>
    <w:rsid w:val="00473FDC"/>
    <w:rsid w:val="0047468F"/>
    <w:rsid w:val="00475120"/>
    <w:rsid w:val="00475C69"/>
    <w:rsid w:val="00476173"/>
    <w:rsid w:val="00476345"/>
    <w:rsid w:val="00476577"/>
    <w:rsid w:val="00477422"/>
    <w:rsid w:val="004778F1"/>
    <w:rsid w:val="00477A57"/>
    <w:rsid w:val="00477B6E"/>
    <w:rsid w:val="00477C1A"/>
    <w:rsid w:val="00477EFA"/>
    <w:rsid w:val="004802C3"/>
    <w:rsid w:val="004807CF"/>
    <w:rsid w:val="004807DA"/>
    <w:rsid w:val="00480C08"/>
    <w:rsid w:val="00481D01"/>
    <w:rsid w:val="00482C24"/>
    <w:rsid w:val="00482F2E"/>
    <w:rsid w:val="004837C1"/>
    <w:rsid w:val="004839F4"/>
    <w:rsid w:val="00483B02"/>
    <w:rsid w:val="00483F17"/>
    <w:rsid w:val="004840E4"/>
    <w:rsid w:val="004843D7"/>
    <w:rsid w:val="004845DA"/>
    <w:rsid w:val="00484D59"/>
    <w:rsid w:val="00485186"/>
    <w:rsid w:val="00485A08"/>
    <w:rsid w:val="00485A5F"/>
    <w:rsid w:val="00485DE1"/>
    <w:rsid w:val="004873CF"/>
    <w:rsid w:val="00487906"/>
    <w:rsid w:val="00487C27"/>
    <w:rsid w:val="00487CAD"/>
    <w:rsid w:val="0049052B"/>
    <w:rsid w:val="00490582"/>
    <w:rsid w:val="004905F5"/>
    <w:rsid w:val="004907FB"/>
    <w:rsid w:val="00491380"/>
    <w:rsid w:val="0049171E"/>
    <w:rsid w:val="00491832"/>
    <w:rsid w:val="004927AF"/>
    <w:rsid w:val="004930AD"/>
    <w:rsid w:val="00493F90"/>
    <w:rsid w:val="0049403E"/>
    <w:rsid w:val="00494534"/>
    <w:rsid w:val="00494DC8"/>
    <w:rsid w:val="00494E6D"/>
    <w:rsid w:val="004959E1"/>
    <w:rsid w:val="00495D74"/>
    <w:rsid w:val="00495D91"/>
    <w:rsid w:val="00495F6A"/>
    <w:rsid w:val="0049602C"/>
    <w:rsid w:val="00496044"/>
    <w:rsid w:val="00496175"/>
    <w:rsid w:val="004974D3"/>
    <w:rsid w:val="0049781A"/>
    <w:rsid w:val="00497C68"/>
    <w:rsid w:val="004A0EC0"/>
    <w:rsid w:val="004A0FC8"/>
    <w:rsid w:val="004A1D5A"/>
    <w:rsid w:val="004A1E99"/>
    <w:rsid w:val="004A2720"/>
    <w:rsid w:val="004A29B4"/>
    <w:rsid w:val="004A29D6"/>
    <w:rsid w:val="004A2DB6"/>
    <w:rsid w:val="004A2E1F"/>
    <w:rsid w:val="004A366D"/>
    <w:rsid w:val="004A3B39"/>
    <w:rsid w:val="004A3F3F"/>
    <w:rsid w:val="004A4E75"/>
    <w:rsid w:val="004A58ED"/>
    <w:rsid w:val="004A5FDD"/>
    <w:rsid w:val="004A6A19"/>
    <w:rsid w:val="004A70A1"/>
    <w:rsid w:val="004A7913"/>
    <w:rsid w:val="004A7B23"/>
    <w:rsid w:val="004B025C"/>
    <w:rsid w:val="004B03BB"/>
    <w:rsid w:val="004B0E0E"/>
    <w:rsid w:val="004B0EB8"/>
    <w:rsid w:val="004B11EB"/>
    <w:rsid w:val="004B15F9"/>
    <w:rsid w:val="004B19E6"/>
    <w:rsid w:val="004B1F9A"/>
    <w:rsid w:val="004B28D8"/>
    <w:rsid w:val="004B2E14"/>
    <w:rsid w:val="004B316A"/>
    <w:rsid w:val="004B37C7"/>
    <w:rsid w:val="004B3A8D"/>
    <w:rsid w:val="004B4946"/>
    <w:rsid w:val="004B4F6F"/>
    <w:rsid w:val="004B5B02"/>
    <w:rsid w:val="004B5B5B"/>
    <w:rsid w:val="004B5C6A"/>
    <w:rsid w:val="004B5D09"/>
    <w:rsid w:val="004B5D22"/>
    <w:rsid w:val="004B6021"/>
    <w:rsid w:val="004B60A0"/>
    <w:rsid w:val="004B6129"/>
    <w:rsid w:val="004B6AE2"/>
    <w:rsid w:val="004B6B11"/>
    <w:rsid w:val="004B7D76"/>
    <w:rsid w:val="004B7F24"/>
    <w:rsid w:val="004C0450"/>
    <w:rsid w:val="004C04A3"/>
    <w:rsid w:val="004C09DC"/>
    <w:rsid w:val="004C0A47"/>
    <w:rsid w:val="004C0DCD"/>
    <w:rsid w:val="004C12B4"/>
    <w:rsid w:val="004C1B72"/>
    <w:rsid w:val="004C1D68"/>
    <w:rsid w:val="004C21DC"/>
    <w:rsid w:val="004C2254"/>
    <w:rsid w:val="004C2304"/>
    <w:rsid w:val="004C2D34"/>
    <w:rsid w:val="004C2E15"/>
    <w:rsid w:val="004C32D8"/>
    <w:rsid w:val="004C38FE"/>
    <w:rsid w:val="004C3B62"/>
    <w:rsid w:val="004C3F92"/>
    <w:rsid w:val="004C516F"/>
    <w:rsid w:val="004C51BE"/>
    <w:rsid w:val="004C5563"/>
    <w:rsid w:val="004C5847"/>
    <w:rsid w:val="004C5C1C"/>
    <w:rsid w:val="004C5C73"/>
    <w:rsid w:val="004C5E38"/>
    <w:rsid w:val="004C5E4E"/>
    <w:rsid w:val="004C62C2"/>
    <w:rsid w:val="004C6462"/>
    <w:rsid w:val="004C6614"/>
    <w:rsid w:val="004C7057"/>
    <w:rsid w:val="004C72B3"/>
    <w:rsid w:val="004C741C"/>
    <w:rsid w:val="004C76A7"/>
    <w:rsid w:val="004C7816"/>
    <w:rsid w:val="004C7A26"/>
    <w:rsid w:val="004C7A67"/>
    <w:rsid w:val="004C7D4F"/>
    <w:rsid w:val="004C7EB7"/>
    <w:rsid w:val="004D01CE"/>
    <w:rsid w:val="004D0679"/>
    <w:rsid w:val="004D0EA0"/>
    <w:rsid w:val="004D148A"/>
    <w:rsid w:val="004D1864"/>
    <w:rsid w:val="004D1B76"/>
    <w:rsid w:val="004D1D6B"/>
    <w:rsid w:val="004D21E3"/>
    <w:rsid w:val="004D272C"/>
    <w:rsid w:val="004D2B56"/>
    <w:rsid w:val="004D2F24"/>
    <w:rsid w:val="004D35F2"/>
    <w:rsid w:val="004D360B"/>
    <w:rsid w:val="004D3969"/>
    <w:rsid w:val="004D4045"/>
    <w:rsid w:val="004D4810"/>
    <w:rsid w:val="004D49EA"/>
    <w:rsid w:val="004D5712"/>
    <w:rsid w:val="004D5F74"/>
    <w:rsid w:val="004D65F8"/>
    <w:rsid w:val="004D7F21"/>
    <w:rsid w:val="004E024E"/>
    <w:rsid w:val="004E0699"/>
    <w:rsid w:val="004E0873"/>
    <w:rsid w:val="004E0DFE"/>
    <w:rsid w:val="004E16CE"/>
    <w:rsid w:val="004E199E"/>
    <w:rsid w:val="004E1B15"/>
    <w:rsid w:val="004E1CE9"/>
    <w:rsid w:val="004E20F2"/>
    <w:rsid w:val="004E2556"/>
    <w:rsid w:val="004E2717"/>
    <w:rsid w:val="004E2882"/>
    <w:rsid w:val="004E2A66"/>
    <w:rsid w:val="004E3032"/>
    <w:rsid w:val="004E3966"/>
    <w:rsid w:val="004E3B8F"/>
    <w:rsid w:val="004E3DA8"/>
    <w:rsid w:val="004E4513"/>
    <w:rsid w:val="004E4EAD"/>
    <w:rsid w:val="004E57C0"/>
    <w:rsid w:val="004E5FDB"/>
    <w:rsid w:val="004E6011"/>
    <w:rsid w:val="004E65E4"/>
    <w:rsid w:val="004E6876"/>
    <w:rsid w:val="004E69F0"/>
    <w:rsid w:val="004E7266"/>
    <w:rsid w:val="004E73E8"/>
    <w:rsid w:val="004E74F5"/>
    <w:rsid w:val="004E79D2"/>
    <w:rsid w:val="004E7CD2"/>
    <w:rsid w:val="004E7E50"/>
    <w:rsid w:val="004F0162"/>
    <w:rsid w:val="004F0921"/>
    <w:rsid w:val="004F09C0"/>
    <w:rsid w:val="004F09CE"/>
    <w:rsid w:val="004F1142"/>
    <w:rsid w:val="004F120D"/>
    <w:rsid w:val="004F19F2"/>
    <w:rsid w:val="004F1D58"/>
    <w:rsid w:val="004F1F64"/>
    <w:rsid w:val="004F2E51"/>
    <w:rsid w:val="004F35C3"/>
    <w:rsid w:val="004F39FD"/>
    <w:rsid w:val="004F3A88"/>
    <w:rsid w:val="004F3CF2"/>
    <w:rsid w:val="004F3F83"/>
    <w:rsid w:val="004F468F"/>
    <w:rsid w:val="004F591F"/>
    <w:rsid w:val="004F5BDF"/>
    <w:rsid w:val="004F60A5"/>
    <w:rsid w:val="004F643F"/>
    <w:rsid w:val="004F6492"/>
    <w:rsid w:val="004F65B0"/>
    <w:rsid w:val="004F6922"/>
    <w:rsid w:val="004F7421"/>
    <w:rsid w:val="004F7A0F"/>
    <w:rsid w:val="004F7A32"/>
    <w:rsid w:val="004F7DC8"/>
    <w:rsid w:val="005003EA"/>
    <w:rsid w:val="00500B76"/>
    <w:rsid w:val="00500DFB"/>
    <w:rsid w:val="005014CF"/>
    <w:rsid w:val="005015D1"/>
    <w:rsid w:val="0050188C"/>
    <w:rsid w:val="00501948"/>
    <w:rsid w:val="0050218A"/>
    <w:rsid w:val="005021AE"/>
    <w:rsid w:val="00502720"/>
    <w:rsid w:val="00502EA2"/>
    <w:rsid w:val="00503239"/>
    <w:rsid w:val="00504121"/>
    <w:rsid w:val="00505D0D"/>
    <w:rsid w:val="00505F7B"/>
    <w:rsid w:val="005060B9"/>
    <w:rsid w:val="005067E6"/>
    <w:rsid w:val="00506B16"/>
    <w:rsid w:val="00507A3E"/>
    <w:rsid w:val="00507A8B"/>
    <w:rsid w:val="00510436"/>
    <w:rsid w:val="005105C5"/>
    <w:rsid w:val="00510E7B"/>
    <w:rsid w:val="00510F6D"/>
    <w:rsid w:val="005110C6"/>
    <w:rsid w:val="00511B5C"/>
    <w:rsid w:val="0051237D"/>
    <w:rsid w:val="00512B2E"/>
    <w:rsid w:val="00513116"/>
    <w:rsid w:val="005133A6"/>
    <w:rsid w:val="005135D9"/>
    <w:rsid w:val="005137E8"/>
    <w:rsid w:val="00513AAF"/>
    <w:rsid w:val="00513CCD"/>
    <w:rsid w:val="00513EB6"/>
    <w:rsid w:val="00513F36"/>
    <w:rsid w:val="00513F96"/>
    <w:rsid w:val="005143E7"/>
    <w:rsid w:val="0051452A"/>
    <w:rsid w:val="00514971"/>
    <w:rsid w:val="0051541C"/>
    <w:rsid w:val="00515A1B"/>
    <w:rsid w:val="00515D67"/>
    <w:rsid w:val="00515E65"/>
    <w:rsid w:val="00515EBD"/>
    <w:rsid w:val="00515F11"/>
    <w:rsid w:val="00516BD6"/>
    <w:rsid w:val="0051772A"/>
    <w:rsid w:val="00517908"/>
    <w:rsid w:val="005200AB"/>
    <w:rsid w:val="005201BF"/>
    <w:rsid w:val="005208B6"/>
    <w:rsid w:val="00520BB9"/>
    <w:rsid w:val="00520CD5"/>
    <w:rsid w:val="005210A2"/>
    <w:rsid w:val="00521123"/>
    <w:rsid w:val="00521279"/>
    <w:rsid w:val="005214E6"/>
    <w:rsid w:val="00522544"/>
    <w:rsid w:val="0052275F"/>
    <w:rsid w:val="0052289A"/>
    <w:rsid w:val="005229EA"/>
    <w:rsid w:val="00523C7B"/>
    <w:rsid w:val="00524891"/>
    <w:rsid w:val="00524D73"/>
    <w:rsid w:val="005259CF"/>
    <w:rsid w:val="00525C3D"/>
    <w:rsid w:val="0052600F"/>
    <w:rsid w:val="00526A39"/>
    <w:rsid w:val="0052761B"/>
    <w:rsid w:val="00527C09"/>
    <w:rsid w:val="00527EF4"/>
    <w:rsid w:val="00530F6F"/>
    <w:rsid w:val="00531F1A"/>
    <w:rsid w:val="005324BC"/>
    <w:rsid w:val="00532A5A"/>
    <w:rsid w:val="00532FE7"/>
    <w:rsid w:val="00533787"/>
    <w:rsid w:val="00533A4C"/>
    <w:rsid w:val="00533ACC"/>
    <w:rsid w:val="005346C2"/>
    <w:rsid w:val="0053481D"/>
    <w:rsid w:val="00534949"/>
    <w:rsid w:val="005357D3"/>
    <w:rsid w:val="00535950"/>
    <w:rsid w:val="00535DF5"/>
    <w:rsid w:val="00536968"/>
    <w:rsid w:val="00536C3F"/>
    <w:rsid w:val="00536C87"/>
    <w:rsid w:val="00536D17"/>
    <w:rsid w:val="00536D29"/>
    <w:rsid w:val="00536EE0"/>
    <w:rsid w:val="00537513"/>
    <w:rsid w:val="00537EC1"/>
    <w:rsid w:val="005400FD"/>
    <w:rsid w:val="00541702"/>
    <w:rsid w:val="00541813"/>
    <w:rsid w:val="00541D35"/>
    <w:rsid w:val="0054269E"/>
    <w:rsid w:val="00542EF1"/>
    <w:rsid w:val="00543562"/>
    <w:rsid w:val="00543A00"/>
    <w:rsid w:val="00544B49"/>
    <w:rsid w:val="00544E27"/>
    <w:rsid w:val="00545459"/>
    <w:rsid w:val="0054579A"/>
    <w:rsid w:val="00547458"/>
    <w:rsid w:val="00547564"/>
    <w:rsid w:val="00547D5A"/>
    <w:rsid w:val="00547D6B"/>
    <w:rsid w:val="00547F25"/>
    <w:rsid w:val="005501B5"/>
    <w:rsid w:val="00550502"/>
    <w:rsid w:val="00550849"/>
    <w:rsid w:val="00550AFF"/>
    <w:rsid w:val="0055104B"/>
    <w:rsid w:val="0055172E"/>
    <w:rsid w:val="00552BAE"/>
    <w:rsid w:val="00552FA5"/>
    <w:rsid w:val="005535D8"/>
    <w:rsid w:val="00553864"/>
    <w:rsid w:val="005549D5"/>
    <w:rsid w:val="00554AED"/>
    <w:rsid w:val="00554CC9"/>
    <w:rsid w:val="00554DCF"/>
    <w:rsid w:val="00554EE6"/>
    <w:rsid w:val="005553FB"/>
    <w:rsid w:val="005558AF"/>
    <w:rsid w:val="00555983"/>
    <w:rsid w:val="00555EF9"/>
    <w:rsid w:val="0055607C"/>
    <w:rsid w:val="0055654E"/>
    <w:rsid w:val="00557764"/>
    <w:rsid w:val="00557BAA"/>
    <w:rsid w:val="00560169"/>
    <w:rsid w:val="005602DE"/>
    <w:rsid w:val="00560F9B"/>
    <w:rsid w:val="00560FF0"/>
    <w:rsid w:val="0056157B"/>
    <w:rsid w:val="0056157F"/>
    <w:rsid w:val="005618CA"/>
    <w:rsid w:val="00562065"/>
    <w:rsid w:val="005622C3"/>
    <w:rsid w:val="0056253E"/>
    <w:rsid w:val="005630A0"/>
    <w:rsid w:val="005632CE"/>
    <w:rsid w:val="005632D0"/>
    <w:rsid w:val="00563439"/>
    <w:rsid w:val="005636BD"/>
    <w:rsid w:val="00563B96"/>
    <w:rsid w:val="00564412"/>
    <w:rsid w:val="0056443B"/>
    <w:rsid w:val="0056476A"/>
    <w:rsid w:val="00564DC8"/>
    <w:rsid w:val="00564F89"/>
    <w:rsid w:val="0056531D"/>
    <w:rsid w:val="00565330"/>
    <w:rsid w:val="005669E8"/>
    <w:rsid w:val="00566B9B"/>
    <w:rsid w:val="00566EEE"/>
    <w:rsid w:val="00566F6B"/>
    <w:rsid w:val="005670EF"/>
    <w:rsid w:val="00567628"/>
    <w:rsid w:val="0057012D"/>
    <w:rsid w:val="00570460"/>
    <w:rsid w:val="005710AD"/>
    <w:rsid w:val="005712C8"/>
    <w:rsid w:val="005713C0"/>
    <w:rsid w:val="005715F6"/>
    <w:rsid w:val="00571C22"/>
    <w:rsid w:val="00571DB6"/>
    <w:rsid w:val="00572245"/>
    <w:rsid w:val="00572399"/>
    <w:rsid w:val="00572A84"/>
    <w:rsid w:val="00572B4A"/>
    <w:rsid w:val="00573AF5"/>
    <w:rsid w:val="005741FB"/>
    <w:rsid w:val="0057420C"/>
    <w:rsid w:val="00574AF1"/>
    <w:rsid w:val="005757A0"/>
    <w:rsid w:val="00575952"/>
    <w:rsid w:val="00575D8A"/>
    <w:rsid w:val="005765C8"/>
    <w:rsid w:val="005769E4"/>
    <w:rsid w:val="0057701F"/>
    <w:rsid w:val="005773B1"/>
    <w:rsid w:val="00577AC7"/>
    <w:rsid w:val="00577C58"/>
    <w:rsid w:val="00577FD2"/>
    <w:rsid w:val="0057B52D"/>
    <w:rsid w:val="005806A8"/>
    <w:rsid w:val="0058158A"/>
    <w:rsid w:val="005815F5"/>
    <w:rsid w:val="00581731"/>
    <w:rsid w:val="00581C11"/>
    <w:rsid w:val="00582845"/>
    <w:rsid w:val="00582BE6"/>
    <w:rsid w:val="00582F7F"/>
    <w:rsid w:val="005835E0"/>
    <w:rsid w:val="00583A37"/>
    <w:rsid w:val="00583B5D"/>
    <w:rsid w:val="0058416D"/>
    <w:rsid w:val="0058462F"/>
    <w:rsid w:val="00584DBC"/>
    <w:rsid w:val="005856AE"/>
    <w:rsid w:val="0058597E"/>
    <w:rsid w:val="00585DDC"/>
    <w:rsid w:val="00585EEB"/>
    <w:rsid w:val="00586B51"/>
    <w:rsid w:val="005872AF"/>
    <w:rsid w:val="005877BD"/>
    <w:rsid w:val="005879EA"/>
    <w:rsid w:val="0059072A"/>
    <w:rsid w:val="00591CFB"/>
    <w:rsid w:val="005920D4"/>
    <w:rsid w:val="00592123"/>
    <w:rsid w:val="00592499"/>
    <w:rsid w:val="00592EBA"/>
    <w:rsid w:val="0059322B"/>
    <w:rsid w:val="00593804"/>
    <w:rsid w:val="00593DC8"/>
    <w:rsid w:val="00593DFD"/>
    <w:rsid w:val="0059402C"/>
    <w:rsid w:val="00594697"/>
    <w:rsid w:val="005946A1"/>
    <w:rsid w:val="00594B9A"/>
    <w:rsid w:val="00594D62"/>
    <w:rsid w:val="00594FE8"/>
    <w:rsid w:val="005953DF"/>
    <w:rsid w:val="00595B87"/>
    <w:rsid w:val="00595CDB"/>
    <w:rsid w:val="00595DE1"/>
    <w:rsid w:val="00595EC8"/>
    <w:rsid w:val="0059670A"/>
    <w:rsid w:val="00596827"/>
    <w:rsid w:val="00596895"/>
    <w:rsid w:val="00596E99"/>
    <w:rsid w:val="00597702"/>
    <w:rsid w:val="00597F62"/>
    <w:rsid w:val="00597FC4"/>
    <w:rsid w:val="005A01E5"/>
    <w:rsid w:val="005A03FD"/>
    <w:rsid w:val="005A0433"/>
    <w:rsid w:val="005A1332"/>
    <w:rsid w:val="005A1912"/>
    <w:rsid w:val="005A1A34"/>
    <w:rsid w:val="005A1FA2"/>
    <w:rsid w:val="005A26FC"/>
    <w:rsid w:val="005A33B6"/>
    <w:rsid w:val="005A33D2"/>
    <w:rsid w:val="005A380C"/>
    <w:rsid w:val="005A3952"/>
    <w:rsid w:val="005A3A4B"/>
    <w:rsid w:val="005A3DED"/>
    <w:rsid w:val="005A3DF6"/>
    <w:rsid w:val="005A3E1C"/>
    <w:rsid w:val="005A443D"/>
    <w:rsid w:val="005A47CA"/>
    <w:rsid w:val="005A5592"/>
    <w:rsid w:val="005A609B"/>
    <w:rsid w:val="005A62B2"/>
    <w:rsid w:val="005A65D2"/>
    <w:rsid w:val="005B011F"/>
    <w:rsid w:val="005B065C"/>
    <w:rsid w:val="005B065F"/>
    <w:rsid w:val="005B0AEA"/>
    <w:rsid w:val="005B1026"/>
    <w:rsid w:val="005B121C"/>
    <w:rsid w:val="005B1681"/>
    <w:rsid w:val="005B2C3C"/>
    <w:rsid w:val="005B317B"/>
    <w:rsid w:val="005B3981"/>
    <w:rsid w:val="005B4326"/>
    <w:rsid w:val="005B4AF0"/>
    <w:rsid w:val="005B50DC"/>
    <w:rsid w:val="005B51FE"/>
    <w:rsid w:val="005B5445"/>
    <w:rsid w:val="005B5D62"/>
    <w:rsid w:val="005B6716"/>
    <w:rsid w:val="005B6AA0"/>
    <w:rsid w:val="005B6AE9"/>
    <w:rsid w:val="005B6F1A"/>
    <w:rsid w:val="005B705B"/>
    <w:rsid w:val="005B763F"/>
    <w:rsid w:val="005B797B"/>
    <w:rsid w:val="005C041D"/>
    <w:rsid w:val="005C0460"/>
    <w:rsid w:val="005C06B5"/>
    <w:rsid w:val="005C0986"/>
    <w:rsid w:val="005C0B9B"/>
    <w:rsid w:val="005C0E51"/>
    <w:rsid w:val="005C1D53"/>
    <w:rsid w:val="005C2115"/>
    <w:rsid w:val="005C2405"/>
    <w:rsid w:val="005C2A91"/>
    <w:rsid w:val="005C2C53"/>
    <w:rsid w:val="005C2DD0"/>
    <w:rsid w:val="005C330A"/>
    <w:rsid w:val="005C33C4"/>
    <w:rsid w:val="005C381A"/>
    <w:rsid w:val="005C3C8F"/>
    <w:rsid w:val="005C4471"/>
    <w:rsid w:val="005C46C8"/>
    <w:rsid w:val="005C47A4"/>
    <w:rsid w:val="005C54FD"/>
    <w:rsid w:val="005C5786"/>
    <w:rsid w:val="005C5CE6"/>
    <w:rsid w:val="005C5D77"/>
    <w:rsid w:val="005C5F4B"/>
    <w:rsid w:val="005C5F95"/>
    <w:rsid w:val="005C6720"/>
    <w:rsid w:val="005C6E07"/>
    <w:rsid w:val="005C750C"/>
    <w:rsid w:val="005D0252"/>
    <w:rsid w:val="005D2581"/>
    <w:rsid w:val="005D29C6"/>
    <w:rsid w:val="005D35CD"/>
    <w:rsid w:val="005D3968"/>
    <w:rsid w:val="005D3E29"/>
    <w:rsid w:val="005D444A"/>
    <w:rsid w:val="005D44D7"/>
    <w:rsid w:val="005D4B6D"/>
    <w:rsid w:val="005D4C0D"/>
    <w:rsid w:val="005D507C"/>
    <w:rsid w:val="005D5F80"/>
    <w:rsid w:val="005D6069"/>
    <w:rsid w:val="005D62ED"/>
    <w:rsid w:val="005D6F37"/>
    <w:rsid w:val="005D746D"/>
    <w:rsid w:val="005D7576"/>
    <w:rsid w:val="005D7A57"/>
    <w:rsid w:val="005E00E1"/>
    <w:rsid w:val="005E052B"/>
    <w:rsid w:val="005E0FF8"/>
    <w:rsid w:val="005E15A0"/>
    <w:rsid w:val="005E16F9"/>
    <w:rsid w:val="005E2C57"/>
    <w:rsid w:val="005E2CCC"/>
    <w:rsid w:val="005E2D77"/>
    <w:rsid w:val="005E3613"/>
    <w:rsid w:val="005E38E9"/>
    <w:rsid w:val="005E3DD3"/>
    <w:rsid w:val="005E3E04"/>
    <w:rsid w:val="005E3E66"/>
    <w:rsid w:val="005E44B8"/>
    <w:rsid w:val="005E4D81"/>
    <w:rsid w:val="005E4DB6"/>
    <w:rsid w:val="005E4FA1"/>
    <w:rsid w:val="005E5425"/>
    <w:rsid w:val="005E5A9A"/>
    <w:rsid w:val="005E5CC1"/>
    <w:rsid w:val="005E5CFD"/>
    <w:rsid w:val="005E61B4"/>
    <w:rsid w:val="005E63F4"/>
    <w:rsid w:val="005E6423"/>
    <w:rsid w:val="005E6B35"/>
    <w:rsid w:val="005E6C09"/>
    <w:rsid w:val="005E720E"/>
    <w:rsid w:val="005E75F9"/>
    <w:rsid w:val="005E7C40"/>
    <w:rsid w:val="005F08EA"/>
    <w:rsid w:val="005F0B02"/>
    <w:rsid w:val="005F132F"/>
    <w:rsid w:val="005F2249"/>
    <w:rsid w:val="005F26ED"/>
    <w:rsid w:val="005F321B"/>
    <w:rsid w:val="005F37E8"/>
    <w:rsid w:val="005F3AD1"/>
    <w:rsid w:val="005F3F4C"/>
    <w:rsid w:val="005F4819"/>
    <w:rsid w:val="005F4BCA"/>
    <w:rsid w:val="005F4C31"/>
    <w:rsid w:val="005F6432"/>
    <w:rsid w:val="005F6765"/>
    <w:rsid w:val="005F6A02"/>
    <w:rsid w:val="005F6D55"/>
    <w:rsid w:val="005F7A0A"/>
    <w:rsid w:val="006000C8"/>
    <w:rsid w:val="00600178"/>
    <w:rsid w:val="0060073D"/>
    <w:rsid w:val="00600974"/>
    <w:rsid w:val="00600CD3"/>
    <w:rsid w:val="006012AA"/>
    <w:rsid w:val="0060135E"/>
    <w:rsid w:val="00601C55"/>
    <w:rsid w:val="00602EAC"/>
    <w:rsid w:val="006035BA"/>
    <w:rsid w:val="006038D9"/>
    <w:rsid w:val="0060391C"/>
    <w:rsid w:val="006046D6"/>
    <w:rsid w:val="0060499E"/>
    <w:rsid w:val="00604DCE"/>
    <w:rsid w:val="00604FBB"/>
    <w:rsid w:val="00605178"/>
    <w:rsid w:val="00605816"/>
    <w:rsid w:val="00605CCD"/>
    <w:rsid w:val="00605CFC"/>
    <w:rsid w:val="00606799"/>
    <w:rsid w:val="006068DB"/>
    <w:rsid w:val="00607183"/>
    <w:rsid w:val="006071A8"/>
    <w:rsid w:val="006077AF"/>
    <w:rsid w:val="00607AAF"/>
    <w:rsid w:val="00607CA9"/>
    <w:rsid w:val="0061038C"/>
    <w:rsid w:val="00610CC6"/>
    <w:rsid w:val="00611657"/>
    <w:rsid w:val="00612519"/>
    <w:rsid w:val="0061312C"/>
    <w:rsid w:val="00613251"/>
    <w:rsid w:val="00613E5B"/>
    <w:rsid w:val="006145FD"/>
    <w:rsid w:val="00614E16"/>
    <w:rsid w:val="00615101"/>
    <w:rsid w:val="00615320"/>
    <w:rsid w:val="006159FA"/>
    <w:rsid w:val="00615EBA"/>
    <w:rsid w:val="006168A4"/>
    <w:rsid w:val="00616DC2"/>
    <w:rsid w:val="00617809"/>
    <w:rsid w:val="00617AA6"/>
    <w:rsid w:val="00617C27"/>
    <w:rsid w:val="00617EE5"/>
    <w:rsid w:val="006200A8"/>
    <w:rsid w:val="0062048B"/>
    <w:rsid w:val="00620AF4"/>
    <w:rsid w:val="0062151F"/>
    <w:rsid w:val="006217BD"/>
    <w:rsid w:val="00621DE9"/>
    <w:rsid w:val="00621F8A"/>
    <w:rsid w:val="006220C9"/>
    <w:rsid w:val="00622878"/>
    <w:rsid w:val="00622963"/>
    <w:rsid w:val="00622C51"/>
    <w:rsid w:val="00623B78"/>
    <w:rsid w:val="00624421"/>
    <w:rsid w:val="00624BA3"/>
    <w:rsid w:val="006251C8"/>
    <w:rsid w:val="00625213"/>
    <w:rsid w:val="006252EF"/>
    <w:rsid w:val="0062545B"/>
    <w:rsid w:val="00625A18"/>
    <w:rsid w:val="0062634F"/>
    <w:rsid w:val="00626609"/>
    <w:rsid w:val="00626983"/>
    <w:rsid w:val="00626B98"/>
    <w:rsid w:val="00630281"/>
    <w:rsid w:val="0063067E"/>
    <w:rsid w:val="00631CC3"/>
    <w:rsid w:val="00632099"/>
    <w:rsid w:val="006328E7"/>
    <w:rsid w:val="00633092"/>
    <w:rsid w:val="0063381F"/>
    <w:rsid w:val="00633A6D"/>
    <w:rsid w:val="00633DA4"/>
    <w:rsid w:val="00633DF4"/>
    <w:rsid w:val="006344E8"/>
    <w:rsid w:val="00635837"/>
    <w:rsid w:val="006358E7"/>
    <w:rsid w:val="00635E69"/>
    <w:rsid w:val="00636347"/>
    <w:rsid w:val="00636DDA"/>
    <w:rsid w:val="00637035"/>
    <w:rsid w:val="00637626"/>
    <w:rsid w:val="0063762E"/>
    <w:rsid w:val="0064032A"/>
    <w:rsid w:val="0064060E"/>
    <w:rsid w:val="0064107B"/>
    <w:rsid w:val="006411BA"/>
    <w:rsid w:val="0064128D"/>
    <w:rsid w:val="006414B6"/>
    <w:rsid w:val="006424CD"/>
    <w:rsid w:val="006426B9"/>
    <w:rsid w:val="00642A9F"/>
    <w:rsid w:val="006433B7"/>
    <w:rsid w:val="006436E3"/>
    <w:rsid w:val="00643E1F"/>
    <w:rsid w:val="00643E31"/>
    <w:rsid w:val="00643E8D"/>
    <w:rsid w:val="00644D68"/>
    <w:rsid w:val="006451A6"/>
    <w:rsid w:val="00645563"/>
    <w:rsid w:val="00645A95"/>
    <w:rsid w:val="00645F2E"/>
    <w:rsid w:val="00647165"/>
    <w:rsid w:val="00647C87"/>
    <w:rsid w:val="00650D62"/>
    <w:rsid w:val="0065105B"/>
    <w:rsid w:val="006512A7"/>
    <w:rsid w:val="006517AD"/>
    <w:rsid w:val="006517BC"/>
    <w:rsid w:val="00651F14"/>
    <w:rsid w:val="0065215A"/>
    <w:rsid w:val="006528A8"/>
    <w:rsid w:val="00652A94"/>
    <w:rsid w:val="00653259"/>
    <w:rsid w:val="006534CA"/>
    <w:rsid w:val="006537CA"/>
    <w:rsid w:val="00653D9E"/>
    <w:rsid w:val="006541EB"/>
    <w:rsid w:val="00654250"/>
    <w:rsid w:val="00654B07"/>
    <w:rsid w:val="006556B0"/>
    <w:rsid w:val="006556E9"/>
    <w:rsid w:val="006557BD"/>
    <w:rsid w:val="00655897"/>
    <w:rsid w:val="00655A13"/>
    <w:rsid w:val="006562C5"/>
    <w:rsid w:val="006562F2"/>
    <w:rsid w:val="00656322"/>
    <w:rsid w:val="0065792B"/>
    <w:rsid w:val="00657E29"/>
    <w:rsid w:val="006600C0"/>
    <w:rsid w:val="006603D5"/>
    <w:rsid w:val="00660452"/>
    <w:rsid w:val="00660626"/>
    <w:rsid w:val="006608AB"/>
    <w:rsid w:val="00660E30"/>
    <w:rsid w:val="00660EA7"/>
    <w:rsid w:val="00660EBD"/>
    <w:rsid w:val="00660EFA"/>
    <w:rsid w:val="0066139A"/>
    <w:rsid w:val="00662358"/>
    <w:rsid w:val="00662873"/>
    <w:rsid w:val="00662F04"/>
    <w:rsid w:val="00662FBD"/>
    <w:rsid w:val="006630A4"/>
    <w:rsid w:val="00663351"/>
    <w:rsid w:val="00663708"/>
    <w:rsid w:val="00663B85"/>
    <w:rsid w:val="00663DAF"/>
    <w:rsid w:val="00663F24"/>
    <w:rsid w:val="00664014"/>
    <w:rsid w:val="00664071"/>
    <w:rsid w:val="0066472D"/>
    <w:rsid w:val="00664928"/>
    <w:rsid w:val="00664CA6"/>
    <w:rsid w:val="00664FB8"/>
    <w:rsid w:val="0066528E"/>
    <w:rsid w:val="00665637"/>
    <w:rsid w:val="00665777"/>
    <w:rsid w:val="0066610C"/>
    <w:rsid w:val="0066746B"/>
    <w:rsid w:val="00670CD4"/>
    <w:rsid w:val="00670D38"/>
    <w:rsid w:val="00670F59"/>
    <w:rsid w:val="00670F8C"/>
    <w:rsid w:val="00671BD0"/>
    <w:rsid w:val="00672164"/>
    <w:rsid w:val="006722AF"/>
    <w:rsid w:val="006726DF"/>
    <w:rsid w:val="0067283D"/>
    <w:rsid w:val="00672933"/>
    <w:rsid w:val="00672955"/>
    <w:rsid w:val="00672ABF"/>
    <w:rsid w:val="006736FD"/>
    <w:rsid w:val="006737AF"/>
    <w:rsid w:val="00673A10"/>
    <w:rsid w:val="00673EB0"/>
    <w:rsid w:val="00674495"/>
    <w:rsid w:val="0067469E"/>
    <w:rsid w:val="006748F5"/>
    <w:rsid w:val="0067493D"/>
    <w:rsid w:val="006753CC"/>
    <w:rsid w:val="006753F8"/>
    <w:rsid w:val="00675AAE"/>
    <w:rsid w:val="00675B45"/>
    <w:rsid w:val="00675B8A"/>
    <w:rsid w:val="00676F63"/>
    <w:rsid w:val="00677007"/>
    <w:rsid w:val="0067757E"/>
    <w:rsid w:val="00677587"/>
    <w:rsid w:val="006779F6"/>
    <w:rsid w:val="00677DC0"/>
    <w:rsid w:val="00677EEC"/>
    <w:rsid w:val="00680E3E"/>
    <w:rsid w:val="00681991"/>
    <w:rsid w:val="00682BCE"/>
    <w:rsid w:val="00683062"/>
    <w:rsid w:val="00683A61"/>
    <w:rsid w:val="00683AF8"/>
    <w:rsid w:val="00683B09"/>
    <w:rsid w:val="00683D33"/>
    <w:rsid w:val="00685B5D"/>
    <w:rsid w:val="00685BFE"/>
    <w:rsid w:val="00686979"/>
    <w:rsid w:val="00686A08"/>
    <w:rsid w:val="00686A4D"/>
    <w:rsid w:val="00686B65"/>
    <w:rsid w:val="0068703B"/>
    <w:rsid w:val="006878C4"/>
    <w:rsid w:val="00687C0E"/>
    <w:rsid w:val="00690677"/>
    <w:rsid w:val="00690995"/>
    <w:rsid w:val="00690DAD"/>
    <w:rsid w:val="0069216A"/>
    <w:rsid w:val="00692E78"/>
    <w:rsid w:val="00692EE6"/>
    <w:rsid w:val="00693087"/>
    <w:rsid w:val="00693571"/>
    <w:rsid w:val="00694416"/>
    <w:rsid w:val="006945B9"/>
    <w:rsid w:val="006947A2"/>
    <w:rsid w:val="00694969"/>
    <w:rsid w:val="00694994"/>
    <w:rsid w:val="006949D6"/>
    <w:rsid w:val="00694BC4"/>
    <w:rsid w:val="00695019"/>
    <w:rsid w:val="0069504C"/>
    <w:rsid w:val="0069553F"/>
    <w:rsid w:val="006957D2"/>
    <w:rsid w:val="00695D6F"/>
    <w:rsid w:val="006960B3"/>
    <w:rsid w:val="006966B2"/>
    <w:rsid w:val="00696A37"/>
    <w:rsid w:val="00696EBE"/>
    <w:rsid w:val="006970E5"/>
    <w:rsid w:val="00697129"/>
    <w:rsid w:val="006972DB"/>
    <w:rsid w:val="006976F1"/>
    <w:rsid w:val="006A1E70"/>
    <w:rsid w:val="006A27F3"/>
    <w:rsid w:val="006A34B7"/>
    <w:rsid w:val="006A3BFD"/>
    <w:rsid w:val="006A40D0"/>
    <w:rsid w:val="006A4858"/>
    <w:rsid w:val="006A4A20"/>
    <w:rsid w:val="006A5740"/>
    <w:rsid w:val="006A59F9"/>
    <w:rsid w:val="006A5FAE"/>
    <w:rsid w:val="006A6113"/>
    <w:rsid w:val="006A62B7"/>
    <w:rsid w:val="006A65BD"/>
    <w:rsid w:val="006A6971"/>
    <w:rsid w:val="006A6A9C"/>
    <w:rsid w:val="006A6C46"/>
    <w:rsid w:val="006A6CCA"/>
    <w:rsid w:val="006A755F"/>
    <w:rsid w:val="006B00AD"/>
    <w:rsid w:val="006B1367"/>
    <w:rsid w:val="006B1A11"/>
    <w:rsid w:val="006B1ABC"/>
    <w:rsid w:val="006B1B9A"/>
    <w:rsid w:val="006B1ED4"/>
    <w:rsid w:val="006B1FA2"/>
    <w:rsid w:val="006B24D0"/>
    <w:rsid w:val="006B286B"/>
    <w:rsid w:val="006B2D7A"/>
    <w:rsid w:val="006B2F2B"/>
    <w:rsid w:val="006B313A"/>
    <w:rsid w:val="006B373E"/>
    <w:rsid w:val="006B3F8E"/>
    <w:rsid w:val="006B4553"/>
    <w:rsid w:val="006B4C48"/>
    <w:rsid w:val="006B5C39"/>
    <w:rsid w:val="006B5DF1"/>
    <w:rsid w:val="006B5F8E"/>
    <w:rsid w:val="006B645C"/>
    <w:rsid w:val="006B688E"/>
    <w:rsid w:val="006B68E0"/>
    <w:rsid w:val="006B6BDA"/>
    <w:rsid w:val="006B6ED7"/>
    <w:rsid w:val="006B75AE"/>
    <w:rsid w:val="006B794E"/>
    <w:rsid w:val="006B7A4C"/>
    <w:rsid w:val="006B7D9E"/>
    <w:rsid w:val="006C02D7"/>
    <w:rsid w:val="006C0B22"/>
    <w:rsid w:val="006C0EF5"/>
    <w:rsid w:val="006C1B98"/>
    <w:rsid w:val="006C1C3C"/>
    <w:rsid w:val="006C21B3"/>
    <w:rsid w:val="006C2547"/>
    <w:rsid w:val="006C2915"/>
    <w:rsid w:val="006C3114"/>
    <w:rsid w:val="006C31F8"/>
    <w:rsid w:val="006C3A68"/>
    <w:rsid w:val="006C3DD0"/>
    <w:rsid w:val="006C4780"/>
    <w:rsid w:val="006C514A"/>
    <w:rsid w:val="006C5844"/>
    <w:rsid w:val="006C5AC2"/>
    <w:rsid w:val="006C622C"/>
    <w:rsid w:val="006C62B3"/>
    <w:rsid w:val="006C6971"/>
    <w:rsid w:val="006C6C5E"/>
    <w:rsid w:val="006C6E43"/>
    <w:rsid w:val="006C7287"/>
    <w:rsid w:val="006C7B3B"/>
    <w:rsid w:val="006D00A1"/>
    <w:rsid w:val="006D05E5"/>
    <w:rsid w:val="006D0B3F"/>
    <w:rsid w:val="006D0E3E"/>
    <w:rsid w:val="006D0F83"/>
    <w:rsid w:val="006D1242"/>
    <w:rsid w:val="006D1723"/>
    <w:rsid w:val="006D1B9D"/>
    <w:rsid w:val="006D2A0E"/>
    <w:rsid w:val="006D2B27"/>
    <w:rsid w:val="006D3630"/>
    <w:rsid w:val="006D3AD5"/>
    <w:rsid w:val="006D419E"/>
    <w:rsid w:val="006D4580"/>
    <w:rsid w:val="006D47EB"/>
    <w:rsid w:val="006D5489"/>
    <w:rsid w:val="006D5B2F"/>
    <w:rsid w:val="006D5CE1"/>
    <w:rsid w:val="006D5EE2"/>
    <w:rsid w:val="006D659A"/>
    <w:rsid w:val="006D7666"/>
    <w:rsid w:val="006D7711"/>
    <w:rsid w:val="006D7BD8"/>
    <w:rsid w:val="006D7E13"/>
    <w:rsid w:val="006E010D"/>
    <w:rsid w:val="006E05CB"/>
    <w:rsid w:val="006E062A"/>
    <w:rsid w:val="006E0905"/>
    <w:rsid w:val="006E0A73"/>
    <w:rsid w:val="006E1748"/>
    <w:rsid w:val="006E18E7"/>
    <w:rsid w:val="006E2A35"/>
    <w:rsid w:val="006E2E95"/>
    <w:rsid w:val="006E2FC7"/>
    <w:rsid w:val="006E3174"/>
    <w:rsid w:val="006E3429"/>
    <w:rsid w:val="006E34CF"/>
    <w:rsid w:val="006E3553"/>
    <w:rsid w:val="006E36E5"/>
    <w:rsid w:val="006E3985"/>
    <w:rsid w:val="006E3AB2"/>
    <w:rsid w:val="006E4126"/>
    <w:rsid w:val="006E4730"/>
    <w:rsid w:val="006E521B"/>
    <w:rsid w:val="006E5468"/>
    <w:rsid w:val="006E54C2"/>
    <w:rsid w:val="006E5520"/>
    <w:rsid w:val="006E6052"/>
    <w:rsid w:val="006E6E23"/>
    <w:rsid w:val="006E79B9"/>
    <w:rsid w:val="006E7CC2"/>
    <w:rsid w:val="006E7FAC"/>
    <w:rsid w:val="006F0A4F"/>
    <w:rsid w:val="006F0C5E"/>
    <w:rsid w:val="006F0E5F"/>
    <w:rsid w:val="006F14F6"/>
    <w:rsid w:val="006F1958"/>
    <w:rsid w:val="006F1BB5"/>
    <w:rsid w:val="006F1C96"/>
    <w:rsid w:val="006F1D70"/>
    <w:rsid w:val="006F1D86"/>
    <w:rsid w:val="006F2C0C"/>
    <w:rsid w:val="006F2CCC"/>
    <w:rsid w:val="006F366D"/>
    <w:rsid w:val="006F3CCD"/>
    <w:rsid w:val="006F4449"/>
    <w:rsid w:val="006F46E0"/>
    <w:rsid w:val="006F4BAA"/>
    <w:rsid w:val="006F55C2"/>
    <w:rsid w:val="006F55E8"/>
    <w:rsid w:val="006F5F1C"/>
    <w:rsid w:val="006F607F"/>
    <w:rsid w:val="006F6267"/>
    <w:rsid w:val="006F6841"/>
    <w:rsid w:val="006F68EA"/>
    <w:rsid w:val="006F6F81"/>
    <w:rsid w:val="006F748A"/>
    <w:rsid w:val="006F783A"/>
    <w:rsid w:val="006F7A9C"/>
    <w:rsid w:val="006F7AA1"/>
    <w:rsid w:val="00700746"/>
    <w:rsid w:val="007008C0"/>
    <w:rsid w:val="007012E6"/>
    <w:rsid w:val="0070149D"/>
    <w:rsid w:val="007026FF"/>
    <w:rsid w:val="00702C7C"/>
    <w:rsid w:val="007032E7"/>
    <w:rsid w:val="0070346C"/>
    <w:rsid w:val="007037B8"/>
    <w:rsid w:val="007039A4"/>
    <w:rsid w:val="00703EFA"/>
    <w:rsid w:val="00704D02"/>
    <w:rsid w:val="00704DAB"/>
    <w:rsid w:val="0070640F"/>
    <w:rsid w:val="00706CE4"/>
    <w:rsid w:val="007074F4"/>
    <w:rsid w:val="0070761D"/>
    <w:rsid w:val="00707AF0"/>
    <w:rsid w:val="00707B17"/>
    <w:rsid w:val="00707F2F"/>
    <w:rsid w:val="00710137"/>
    <w:rsid w:val="00710437"/>
    <w:rsid w:val="00710885"/>
    <w:rsid w:val="00710A67"/>
    <w:rsid w:val="00710BA4"/>
    <w:rsid w:val="00711311"/>
    <w:rsid w:val="0071152E"/>
    <w:rsid w:val="00711A40"/>
    <w:rsid w:val="00711CA4"/>
    <w:rsid w:val="007124B2"/>
    <w:rsid w:val="0071270F"/>
    <w:rsid w:val="007131AD"/>
    <w:rsid w:val="00713231"/>
    <w:rsid w:val="0071338F"/>
    <w:rsid w:val="00713822"/>
    <w:rsid w:val="0071387F"/>
    <w:rsid w:val="00713B81"/>
    <w:rsid w:val="00713BED"/>
    <w:rsid w:val="00713F94"/>
    <w:rsid w:val="00713FBF"/>
    <w:rsid w:val="007140D3"/>
    <w:rsid w:val="00714529"/>
    <w:rsid w:val="007145D5"/>
    <w:rsid w:val="007145DA"/>
    <w:rsid w:val="00714BE2"/>
    <w:rsid w:val="00714F90"/>
    <w:rsid w:val="007151C0"/>
    <w:rsid w:val="00715DA4"/>
    <w:rsid w:val="0071699F"/>
    <w:rsid w:val="00716B1F"/>
    <w:rsid w:val="0071756B"/>
    <w:rsid w:val="007175C7"/>
    <w:rsid w:val="00717AD5"/>
    <w:rsid w:val="00717F7B"/>
    <w:rsid w:val="00720128"/>
    <w:rsid w:val="00720453"/>
    <w:rsid w:val="007209B5"/>
    <w:rsid w:val="0072199D"/>
    <w:rsid w:val="00721CAB"/>
    <w:rsid w:val="00721F7D"/>
    <w:rsid w:val="007223AB"/>
    <w:rsid w:val="00722AF0"/>
    <w:rsid w:val="00722B9A"/>
    <w:rsid w:val="00722F3B"/>
    <w:rsid w:val="00722F72"/>
    <w:rsid w:val="00722FA7"/>
    <w:rsid w:val="0072306E"/>
    <w:rsid w:val="0072423B"/>
    <w:rsid w:val="007246ED"/>
    <w:rsid w:val="007247CB"/>
    <w:rsid w:val="007250C5"/>
    <w:rsid w:val="0072538C"/>
    <w:rsid w:val="00725A86"/>
    <w:rsid w:val="00725ED2"/>
    <w:rsid w:val="0072603B"/>
    <w:rsid w:val="007263D1"/>
    <w:rsid w:val="007265B2"/>
    <w:rsid w:val="00726884"/>
    <w:rsid w:val="00726A72"/>
    <w:rsid w:val="00726AB4"/>
    <w:rsid w:val="00727C09"/>
    <w:rsid w:val="007303C2"/>
    <w:rsid w:val="00730757"/>
    <w:rsid w:val="007309FB"/>
    <w:rsid w:val="00730AC6"/>
    <w:rsid w:val="0073121D"/>
    <w:rsid w:val="00731268"/>
    <w:rsid w:val="007314D7"/>
    <w:rsid w:val="00731A04"/>
    <w:rsid w:val="0073210A"/>
    <w:rsid w:val="007321AA"/>
    <w:rsid w:val="007322D5"/>
    <w:rsid w:val="0073245B"/>
    <w:rsid w:val="0073258D"/>
    <w:rsid w:val="00732AD8"/>
    <w:rsid w:val="00732B6B"/>
    <w:rsid w:val="00733962"/>
    <w:rsid w:val="007340D6"/>
    <w:rsid w:val="00734460"/>
    <w:rsid w:val="007347B3"/>
    <w:rsid w:val="007360C9"/>
    <w:rsid w:val="00736380"/>
    <w:rsid w:val="0073645E"/>
    <w:rsid w:val="007377F9"/>
    <w:rsid w:val="00737BA2"/>
    <w:rsid w:val="00737C67"/>
    <w:rsid w:val="007407B7"/>
    <w:rsid w:val="00740E60"/>
    <w:rsid w:val="00742022"/>
    <w:rsid w:val="0074207A"/>
    <w:rsid w:val="0074277A"/>
    <w:rsid w:val="007427E6"/>
    <w:rsid w:val="007429F0"/>
    <w:rsid w:val="007435B7"/>
    <w:rsid w:val="0074375E"/>
    <w:rsid w:val="00743B33"/>
    <w:rsid w:val="00743DDE"/>
    <w:rsid w:val="007440BA"/>
    <w:rsid w:val="00744225"/>
    <w:rsid w:val="00744BB1"/>
    <w:rsid w:val="00744E0D"/>
    <w:rsid w:val="00744E63"/>
    <w:rsid w:val="00744E9D"/>
    <w:rsid w:val="00744EDC"/>
    <w:rsid w:val="007457C5"/>
    <w:rsid w:val="007459F8"/>
    <w:rsid w:val="0074691F"/>
    <w:rsid w:val="00746C56"/>
    <w:rsid w:val="00746F56"/>
    <w:rsid w:val="00746FEC"/>
    <w:rsid w:val="0074745E"/>
    <w:rsid w:val="007474E8"/>
    <w:rsid w:val="00747903"/>
    <w:rsid w:val="00747BE5"/>
    <w:rsid w:val="0075009C"/>
    <w:rsid w:val="007508A5"/>
    <w:rsid w:val="007509DD"/>
    <w:rsid w:val="00750A78"/>
    <w:rsid w:val="007519EB"/>
    <w:rsid w:val="00751F82"/>
    <w:rsid w:val="00752278"/>
    <w:rsid w:val="00752D3C"/>
    <w:rsid w:val="00753276"/>
    <w:rsid w:val="007532DC"/>
    <w:rsid w:val="0075371E"/>
    <w:rsid w:val="007538B1"/>
    <w:rsid w:val="00753BD2"/>
    <w:rsid w:val="00753DB2"/>
    <w:rsid w:val="00754323"/>
    <w:rsid w:val="007548C6"/>
    <w:rsid w:val="00754F02"/>
    <w:rsid w:val="00754F52"/>
    <w:rsid w:val="007554F1"/>
    <w:rsid w:val="0075570F"/>
    <w:rsid w:val="00755721"/>
    <w:rsid w:val="00755D0B"/>
    <w:rsid w:val="00756507"/>
    <w:rsid w:val="00756EC9"/>
    <w:rsid w:val="00757E07"/>
    <w:rsid w:val="007608E9"/>
    <w:rsid w:val="00761A8D"/>
    <w:rsid w:val="00761B17"/>
    <w:rsid w:val="00761BAD"/>
    <w:rsid w:val="00761CDD"/>
    <w:rsid w:val="00761EDC"/>
    <w:rsid w:val="0076230F"/>
    <w:rsid w:val="00762349"/>
    <w:rsid w:val="007625AF"/>
    <w:rsid w:val="00762B81"/>
    <w:rsid w:val="00762F1F"/>
    <w:rsid w:val="007635B8"/>
    <w:rsid w:val="0076391E"/>
    <w:rsid w:val="00763B43"/>
    <w:rsid w:val="00763BB5"/>
    <w:rsid w:val="00764DB7"/>
    <w:rsid w:val="007655E5"/>
    <w:rsid w:val="00765778"/>
    <w:rsid w:val="00765FF8"/>
    <w:rsid w:val="007665AB"/>
    <w:rsid w:val="00766812"/>
    <w:rsid w:val="00766907"/>
    <w:rsid w:val="00766962"/>
    <w:rsid w:val="0076699D"/>
    <w:rsid w:val="00766DEF"/>
    <w:rsid w:val="0076767C"/>
    <w:rsid w:val="00767E08"/>
    <w:rsid w:val="00767F71"/>
    <w:rsid w:val="0077162F"/>
    <w:rsid w:val="00771BAE"/>
    <w:rsid w:val="00772C7A"/>
    <w:rsid w:val="007732E7"/>
    <w:rsid w:val="0077350D"/>
    <w:rsid w:val="00773706"/>
    <w:rsid w:val="00773AFB"/>
    <w:rsid w:val="00774035"/>
    <w:rsid w:val="00774052"/>
    <w:rsid w:val="007741D5"/>
    <w:rsid w:val="00774297"/>
    <w:rsid w:val="00776A8A"/>
    <w:rsid w:val="00776C52"/>
    <w:rsid w:val="00776CAD"/>
    <w:rsid w:val="007779F7"/>
    <w:rsid w:val="007801CF"/>
    <w:rsid w:val="00780687"/>
    <w:rsid w:val="00780955"/>
    <w:rsid w:val="00780EC6"/>
    <w:rsid w:val="007812B2"/>
    <w:rsid w:val="00781455"/>
    <w:rsid w:val="0078192E"/>
    <w:rsid w:val="00781F29"/>
    <w:rsid w:val="00782055"/>
    <w:rsid w:val="007824BC"/>
    <w:rsid w:val="00783213"/>
    <w:rsid w:val="00785500"/>
    <w:rsid w:val="0078553D"/>
    <w:rsid w:val="00785545"/>
    <w:rsid w:val="00785C4F"/>
    <w:rsid w:val="00785EF9"/>
    <w:rsid w:val="00786651"/>
    <w:rsid w:val="0078693A"/>
    <w:rsid w:val="007869F9"/>
    <w:rsid w:val="00786D98"/>
    <w:rsid w:val="00787610"/>
    <w:rsid w:val="00787670"/>
    <w:rsid w:val="007902FE"/>
    <w:rsid w:val="007908F1"/>
    <w:rsid w:val="00790BE1"/>
    <w:rsid w:val="00790FFB"/>
    <w:rsid w:val="00791224"/>
    <w:rsid w:val="00792352"/>
    <w:rsid w:val="00792886"/>
    <w:rsid w:val="00792AED"/>
    <w:rsid w:val="00792DF0"/>
    <w:rsid w:val="00793042"/>
    <w:rsid w:val="007939FD"/>
    <w:rsid w:val="00793BB8"/>
    <w:rsid w:val="00793E61"/>
    <w:rsid w:val="007942C4"/>
    <w:rsid w:val="00794538"/>
    <w:rsid w:val="00794804"/>
    <w:rsid w:val="00794969"/>
    <w:rsid w:val="007952BF"/>
    <w:rsid w:val="007952F4"/>
    <w:rsid w:val="00795DC3"/>
    <w:rsid w:val="007961C0"/>
    <w:rsid w:val="007965A3"/>
    <w:rsid w:val="007968E5"/>
    <w:rsid w:val="00796966"/>
    <w:rsid w:val="007969AF"/>
    <w:rsid w:val="0079762D"/>
    <w:rsid w:val="007A007D"/>
    <w:rsid w:val="007A015D"/>
    <w:rsid w:val="007A0160"/>
    <w:rsid w:val="007A070A"/>
    <w:rsid w:val="007A1862"/>
    <w:rsid w:val="007A1C88"/>
    <w:rsid w:val="007A2235"/>
    <w:rsid w:val="007A2B56"/>
    <w:rsid w:val="007A2C90"/>
    <w:rsid w:val="007A3FB9"/>
    <w:rsid w:val="007A434B"/>
    <w:rsid w:val="007A47C9"/>
    <w:rsid w:val="007A4CF9"/>
    <w:rsid w:val="007A4F2C"/>
    <w:rsid w:val="007A5574"/>
    <w:rsid w:val="007A5D86"/>
    <w:rsid w:val="007A60F0"/>
    <w:rsid w:val="007A61AC"/>
    <w:rsid w:val="007A636A"/>
    <w:rsid w:val="007A6B6E"/>
    <w:rsid w:val="007A76E6"/>
    <w:rsid w:val="007A7833"/>
    <w:rsid w:val="007B0B57"/>
    <w:rsid w:val="007B14D0"/>
    <w:rsid w:val="007B1A9C"/>
    <w:rsid w:val="007B1C45"/>
    <w:rsid w:val="007B1C61"/>
    <w:rsid w:val="007B1CDA"/>
    <w:rsid w:val="007B2253"/>
    <w:rsid w:val="007B293B"/>
    <w:rsid w:val="007B3023"/>
    <w:rsid w:val="007B3060"/>
    <w:rsid w:val="007B3806"/>
    <w:rsid w:val="007B3954"/>
    <w:rsid w:val="007B3FBC"/>
    <w:rsid w:val="007B4E54"/>
    <w:rsid w:val="007B5537"/>
    <w:rsid w:val="007B5760"/>
    <w:rsid w:val="007B5FBA"/>
    <w:rsid w:val="007B661E"/>
    <w:rsid w:val="007B6B1C"/>
    <w:rsid w:val="007B6C57"/>
    <w:rsid w:val="007B6DF5"/>
    <w:rsid w:val="007B6ED4"/>
    <w:rsid w:val="007B7307"/>
    <w:rsid w:val="007C011A"/>
    <w:rsid w:val="007C0D9D"/>
    <w:rsid w:val="007C0DA1"/>
    <w:rsid w:val="007C10AE"/>
    <w:rsid w:val="007C115C"/>
    <w:rsid w:val="007C1721"/>
    <w:rsid w:val="007C1793"/>
    <w:rsid w:val="007C1E47"/>
    <w:rsid w:val="007C250A"/>
    <w:rsid w:val="007C25AA"/>
    <w:rsid w:val="007C35E8"/>
    <w:rsid w:val="007C3673"/>
    <w:rsid w:val="007C39F1"/>
    <w:rsid w:val="007C3D03"/>
    <w:rsid w:val="007C3D6C"/>
    <w:rsid w:val="007C426E"/>
    <w:rsid w:val="007C4362"/>
    <w:rsid w:val="007C467A"/>
    <w:rsid w:val="007C4771"/>
    <w:rsid w:val="007C49B2"/>
    <w:rsid w:val="007C4A1C"/>
    <w:rsid w:val="007C4B7F"/>
    <w:rsid w:val="007C4CD8"/>
    <w:rsid w:val="007C5085"/>
    <w:rsid w:val="007C58E6"/>
    <w:rsid w:val="007C60C2"/>
    <w:rsid w:val="007C6582"/>
    <w:rsid w:val="007C6A22"/>
    <w:rsid w:val="007C72F9"/>
    <w:rsid w:val="007C75BC"/>
    <w:rsid w:val="007D0133"/>
    <w:rsid w:val="007D0BEB"/>
    <w:rsid w:val="007D15D6"/>
    <w:rsid w:val="007D20C3"/>
    <w:rsid w:val="007D2112"/>
    <w:rsid w:val="007D22AE"/>
    <w:rsid w:val="007D2551"/>
    <w:rsid w:val="007D2E0F"/>
    <w:rsid w:val="007D2E3C"/>
    <w:rsid w:val="007D3AD3"/>
    <w:rsid w:val="007D4903"/>
    <w:rsid w:val="007D4A00"/>
    <w:rsid w:val="007D4B6D"/>
    <w:rsid w:val="007D4EAB"/>
    <w:rsid w:val="007D5358"/>
    <w:rsid w:val="007D60F0"/>
    <w:rsid w:val="007D658D"/>
    <w:rsid w:val="007D6958"/>
    <w:rsid w:val="007D6DA1"/>
    <w:rsid w:val="007D782A"/>
    <w:rsid w:val="007D798B"/>
    <w:rsid w:val="007E06B5"/>
    <w:rsid w:val="007E0908"/>
    <w:rsid w:val="007E09B0"/>
    <w:rsid w:val="007E0B2B"/>
    <w:rsid w:val="007E0B5E"/>
    <w:rsid w:val="007E0C22"/>
    <w:rsid w:val="007E1986"/>
    <w:rsid w:val="007E2A4B"/>
    <w:rsid w:val="007E2DDF"/>
    <w:rsid w:val="007E3538"/>
    <w:rsid w:val="007E3604"/>
    <w:rsid w:val="007E3A80"/>
    <w:rsid w:val="007E472E"/>
    <w:rsid w:val="007E4D7A"/>
    <w:rsid w:val="007E5382"/>
    <w:rsid w:val="007E56EE"/>
    <w:rsid w:val="007E5C22"/>
    <w:rsid w:val="007E667B"/>
    <w:rsid w:val="007E6A45"/>
    <w:rsid w:val="007E6CDB"/>
    <w:rsid w:val="007E7248"/>
    <w:rsid w:val="007E725F"/>
    <w:rsid w:val="007E7333"/>
    <w:rsid w:val="007E77B1"/>
    <w:rsid w:val="007E7829"/>
    <w:rsid w:val="007E7C41"/>
    <w:rsid w:val="007E7DA0"/>
    <w:rsid w:val="007F0018"/>
    <w:rsid w:val="007F0216"/>
    <w:rsid w:val="007F046B"/>
    <w:rsid w:val="007F10FD"/>
    <w:rsid w:val="007F1836"/>
    <w:rsid w:val="007F231F"/>
    <w:rsid w:val="007F23B3"/>
    <w:rsid w:val="007F27D9"/>
    <w:rsid w:val="007F27EE"/>
    <w:rsid w:val="007F2F23"/>
    <w:rsid w:val="007F3A3E"/>
    <w:rsid w:val="007F3E48"/>
    <w:rsid w:val="007F4497"/>
    <w:rsid w:val="007F44C4"/>
    <w:rsid w:val="007F4771"/>
    <w:rsid w:val="007F4B5F"/>
    <w:rsid w:val="007F5F6C"/>
    <w:rsid w:val="007F627C"/>
    <w:rsid w:val="007F643E"/>
    <w:rsid w:val="007F680D"/>
    <w:rsid w:val="007F72AD"/>
    <w:rsid w:val="007F77F5"/>
    <w:rsid w:val="007F7AE8"/>
    <w:rsid w:val="00800E67"/>
    <w:rsid w:val="0080160E"/>
    <w:rsid w:val="00801D98"/>
    <w:rsid w:val="00801E28"/>
    <w:rsid w:val="00801EF6"/>
    <w:rsid w:val="008025F2"/>
    <w:rsid w:val="00802928"/>
    <w:rsid w:val="00803162"/>
    <w:rsid w:val="00803268"/>
    <w:rsid w:val="0080352C"/>
    <w:rsid w:val="00803FD7"/>
    <w:rsid w:val="008047D2"/>
    <w:rsid w:val="00804E21"/>
    <w:rsid w:val="00804FC3"/>
    <w:rsid w:val="008050BA"/>
    <w:rsid w:val="008052E9"/>
    <w:rsid w:val="008055AC"/>
    <w:rsid w:val="008055D9"/>
    <w:rsid w:val="00805F50"/>
    <w:rsid w:val="00805F5C"/>
    <w:rsid w:val="00805FC9"/>
    <w:rsid w:val="00806038"/>
    <w:rsid w:val="008071A1"/>
    <w:rsid w:val="00807549"/>
    <w:rsid w:val="00807A0C"/>
    <w:rsid w:val="00810562"/>
    <w:rsid w:val="00810DB8"/>
    <w:rsid w:val="00811625"/>
    <w:rsid w:val="0081185E"/>
    <w:rsid w:val="00811B52"/>
    <w:rsid w:val="00811C49"/>
    <w:rsid w:val="00811F24"/>
    <w:rsid w:val="00813308"/>
    <w:rsid w:val="0081355C"/>
    <w:rsid w:val="00813BFD"/>
    <w:rsid w:val="00813CC2"/>
    <w:rsid w:val="00813DC7"/>
    <w:rsid w:val="008149D7"/>
    <w:rsid w:val="00814CC5"/>
    <w:rsid w:val="00814DBD"/>
    <w:rsid w:val="0081521F"/>
    <w:rsid w:val="00815270"/>
    <w:rsid w:val="008153C2"/>
    <w:rsid w:val="0081592E"/>
    <w:rsid w:val="00815C19"/>
    <w:rsid w:val="00816B96"/>
    <w:rsid w:val="00816D12"/>
    <w:rsid w:val="008172AE"/>
    <w:rsid w:val="00817C97"/>
    <w:rsid w:val="00817DC0"/>
    <w:rsid w:val="00817E30"/>
    <w:rsid w:val="00817F27"/>
    <w:rsid w:val="008201AE"/>
    <w:rsid w:val="008205B4"/>
    <w:rsid w:val="00820656"/>
    <w:rsid w:val="00820EAC"/>
    <w:rsid w:val="00820F8C"/>
    <w:rsid w:val="008211AC"/>
    <w:rsid w:val="00821DAD"/>
    <w:rsid w:val="00821DD6"/>
    <w:rsid w:val="00821E66"/>
    <w:rsid w:val="00822233"/>
    <w:rsid w:val="00822575"/>
    <w:rsid w:val="00822AB4"/>
    <w:rsid w:val="0082331A"/>
    <w:rsid w:val="00823397"/>
    <w:rsid w:val="00823AAC"/>
    <w:rsid w:val="00823C08"/>
    <w:rsid w:val="00824DE1"/>
    <w:rsid w:val="008256E2"/>
    <w:rsid w:val="00825AC5"/>
    <w:rsid w:val="00825D62"/>
    <w:rsid w:val="00826709"/>
    <w:rsid w:val="008271D6"/>
    <w:rsid w:val="00827F73"/>
    <w:rsid w:val="008303A9"/>
    <w:rsid w:val="0083041D"/>
    <w:rsid w:val="0083083C"/>
    <w:rsid w:val="00830B32"/>
    <w:rsid w:val="00831081"/>
    <w:rsid w:val="0083142D"/>
    <w:rsid w:val="00831920"/>
    <w:rsid w:val="00831C52"/>
    <w:rsid w:val="00832745"/>
    <w:rsid w:val="00832AF1"/>
    <w:rsid w:val="00833116"/>
    <w:rsid w:val="00833D3E"/>
    <w:rsid w:val="00834033"/>
    <w:rsid w:val="00834521"/>
    <w:rsid w:val="00834C89"/>
    <w:rsid w:val="00835166"/>
    <w:rsid w:val="0083527C"/>
    <w:rsid w:val="008353EB"/>
    <w:rsid w:val="0083576B"/>
    <w:rsid w:val="00835D67"/>
    <w:rsid w:val="00835E95"/>
    <w:rsid w:val="00835F35"/>
    <w:rsid w:val="008360BD"/>
    <w:rsid w:val="0083632E"/>
    <w:rsid w:val="0084045E"/>
    <w:rsid w:val="0084047F"/>
    <w:rsid w:val="008406D6"/>
    <w:rsid w:val="008413C9"/>
    <w:rsid w:val="00841AA3"/>
    <w:rsid w:val="00841D54"/>
    <w:rsid w:val="0084250D"/>
    <w:rsid w:val="00842C0C"/>
    <w:rsid w:val="00843770"/>
    <w:rsid w:val="008437A2"/>
    <w:rsid w:val="00843A31"/>
    <w:rsid w:val="00844412"/>
    <w:rsid w:val="0084465D"/>
    <w:rsid w:val="00845C62"/>
    <w:rsid w:val="00845F87"/>
    <w:rsid w:val="008463B2"/>
    <w:rsid w:val="008465C6"/>
    <w:rsid w:val="008467F9"/>
    <w:rsid w:val="00846B1F"/>
    <w:rsid w:val="0084707E"/>
    <w:rsid w:val="008473D2"/>
    <w:rsid w:val="00847521"/>
    <w:rsid w:val="00849707"/>
    <w:rsid w:val="00850E8B"/>
    <w:rsid w:val="00851372"/>
    <w:rsid w:val="00851A08"/>
    <w:rsid w:val="008521B7"/>
    <w:rsid w:val="0085251E"/>
    <w:rsid w:val="00852651"/>
    <w:rsid w:val="008533CC"/>
    <w:rsid w:val="00853463"/>
    <w:rsid w:val="00853A4C"/>
    <w:rsid w:val="00854806"/>
    <w:rsid w:val="0085490E"/>
    <w:rsid w:val="008557A5"/>
    <w:rsid w:val="00855BB2"/>
    <w:rsid w:val="0085615F"/>
    <w:rsid w:val="008561D8"/>
    <w:rsid w:val="00857032"/>
    <w:rsid w:val="00857B52"/>
    <w:rsid w:val="00860051"/>
    <w:rsid w:val="008625F9"/>
    <w:rsid w:val="008627EB"/>
    <w:rsid w:val="00862896"/>
    <w:rsid w:val="00862959"/>
    <w:rsid w:val="00862F67"/>
    <w:rsid w:val="00863943"/>
    <w:rsid w:val="0086400A"/>
    <w:rsid w:val="0086420D"/>
    <w:rsid w:val="008642B9"/>
    <w:rsid w:val="00864492"/>
    <w:rsid w:val="0086450D"/>
    <w:rsid w:val="00864625"/>
    <w:rsid w:val="00865CD2"/>
    <w:rsid w:val="00866037"/>
    <w:rsid w:val="00866270"/>
    <w:rsid w:val="008662F8"/>
    <w:rsid w:val="008669EF"/>
    <w:rsid w:val="00866AFE"/>
    <w:rsid w:val="00866D5F"/>
    <w:rsid w:val="00866E63"/>
    <w:rsid w:val="00867763"/>
    <w:rsid w:val="008679CD"/>
    <w:rsid w:val="00867BA0"/>
    <w:rsid w:val="00867E4F"/>
    <w:rsid w:val="00870460"/>
    <w:rsid w:val="0087057F"/>
    <w:rsid w:val="00870942"/>
    <w:rsid w:val="00870BD7"/>
    <w:rsid w:val="00871219"/>
    <w:rsid w:val="008713B7"/>
    <w:rsid w:val="00871E32"/>
    <w:rsid w:val="00871E61"/>
    <w:rsid w:val="008721D0"/>
    <w:rsid w:val="00873147"/>
    <w:rsid w:val="00873593"/>
    <w:rsid w:val="008744E7"/>
    <w:rsid w:val="00874725"/>
    <w:rsid w:val="00874CB5"/>
    <w:rsid w:val="00874FE2"/>
    <w:rsid w:val="0087541B"/>
    <w:rsid w:val="00875E32"/>
    <w:rsid w:val="00875EF4"/>
    <w:rsid w:val="00875F29"/>
    <w:rsid w:val="008761ED"/>
    <w:rsid w:val="00876562"/>
    <w:rsid w:val="00876643"/>
    <w:rsid w:val="00876A2C"/>
    <w:rsid w:val="00876F63"/>
    <w:rsid w:val="008770E0"/>
    <w:rsid w:val="0087719D"/>
    <w:rsid w:val="008774C4"/>
    <w:rsid w:val="008775DB"/>
    <w:rsid w:val="00877A5F"/>
    <w:rsid w:val="008801DD"/>
    <w:rsid w:val="008803C9"/>
    <w:rsid w:val="0088061E"/>
    <w:rsid w:val="00880859"/>
    <w:rsid w:val="00880E54"/>
    <w:rsid w:val="008818D7"/>
    <w:rsid w:val="00881EBB"/>
    <w:rsid w:val="008825DC"/>
    <w:rsid w:val="00882D1C"/>
    <w:rsid w:val="0088329D"/>
    <w:rsid w:val="0088332C"/>
    <w:rsid w:val="008835CC"/>
    <w:rsid w:val="008835DB"/>
    <w:rsid w:val="00883E79"/>
    <w:rsid w:val="00883F16"/>
    <w:rsid w:val="00884175"/>
    <w:rsid w:val="00884EAB"/>
    <w:rsid w:val="00885086"/>
    <w:rsid w:val="00885EC9"/>
    <w:rsid w:val="00885FD0"/>
    <w:rsid w:val="00886706"/>
    <w:rsid w:val="00886E03"/>
    <w:rsid w:val="0088756C"/>
    <w:rsid w:val="008878AD"/>
    <w:rsid w:val="00887FAB"/>
    <w:rsid w:val="00887FF2"/>
    <w:rsid w:val="0089019F"/>
    <w:rsid w:val="00890496"/>
    <w:rsid w:val="00890F8F"/>
    <w:rsid w:val="008911D1"/>
    <w:rsid w:val="0089136C"/>
    <w:rsid w:val="00891C88"/>
    <w:rsid w:val="008921A8"/>
    <w:rsid w:val="00892A0A"/>
    <w:rsid w:val="00892B56"/>
    <w:rsid w:val="00894206"/>
    <w:rsid w:val="0089476E"/>
    <w:rsid w:val="00894A3B"/>
    <w:rsid w:val="00895CBB"/>
    <w:rsid w:val="008967C1"/>
    <w:rsid w:val="00896DDF"/>
    <w:rsid w:val="0089759E"/>
    <w:rsid w:val="008A0077"/>
    <w:rsid w:val="008A06E8"/>
    <w:rsid w:val="008A0B46"/>
    <w:rsid w:val="008A0C83"/>
    <w:rsid w:val="008A0EA3"/>
    <w:rsid w:val="008A1590"/>
    <w:rsid w:val="008A26F2"/>
    <w:rsid w:val="008A3488"/>
    <w:rsid w:val="008A3714"/>
    <w:rsid w:val="008A38F1"/>
    <w:rsid w:val="008A4445"/>
    <w:rsid w:val="008A462A"/>
    <w:rsid w:val="008A49C8"/>
    <w:rsid w:val="008A4A18"/>
    <w:rsid w:val="008A4EC3"/>
    <w:rsid w:val="008A53A4"/>
    <w:rsid w:val="008A5B35"/>
    <w:rsid w:val="008A5EED"/>
    <w:rsid w:val="008A6780"/>
    <w:rsid w:val="008A7141"/>
    <w:rsid w:val="008A756C"/>
    <w:rsid w:val="008A765B"/>
    <w:rsid w:val="008A7DBF"/>
    <w:rsid w:val="008B091E"/>
    <w:rsid w:val="008B0D79"/>
    <w:rsid w:val="008B13FB"/>
    <w:rsid w:val="008B1554"/>
    <w:rsid w:val="008B1BE4"/>
    <w:rsid w:val="008B2525"/>
    <w:rsid w:val="008B2643"/>
    <w:rsid w:val="008B3280"/>
    <w:rsid w:val="008B3296"/>
    <w:rsid w:val="008B389B"/>
    <w:rsid w:val="008B3B8E"/>
    <w:rsid w:val="008B3CDD"/>
    <w:rsid w:val="008B3E2F"/>
    <w:rsid w:val="008B3FFE"/>
    <w:rsid w:val="008B426C"/>
    <w:rsid w:val="008B4571"/>
    <w:rsid w:val="008B4915"/>
    <w:rsid w:val="008B5340"/>
    <w:rsid w:val="008B5A00"/>
    <w:rsid w:val="008B6627"/>
    <w:rsid w:val="008B668C"/>
    <w:rsid w:val="008B66FC"/>
    <w:rsid w:val="008B677C"/>
    <w:rsid w:val="008B6DD3"/>
    <w:rsid w:val="008B76C2"/>
    <w:rsid w:val="008B773A"/>
    <w:rsid w:val="008B7C95"/>
    <w:rsid w:val="008B7D50"/>
    <w:rsid w:val="008C0934"/>
    <w:rsid w:val="008C0C5C"/>
    <w:rsid w:val="008C119C"/>
    <w:rsid w:val="008C15EC"/>
    <w:rsid w:val="008C1D07"/>
    <w:rsid w:val="008C2152"/>
    <w:rsid w:val="008C2187"/>
    <w:rsid w:val="008C224B"/>
    <w:rsid w:val="008C2835"/>
    <w:rsid w:val="008C2E27"/>
    <w:rsid w:val="008C33E8"/>
    <w:rsid w:val="008C3C6D"/>
    <w:rsid w:val="008C3D87"/>
    <w:rsid w:val="008C410A"/>
    <w:rsid w:val="008C42BA"/>
    <w:rsid w:val="008C42EA"/>
    <w:rsid w:val="008C46D5"/>
    <w:rsid w:val="008C4844"/>
    <w:rsid w:val="008C4BE0"/>
    <w:rsid w:val="008C5A25"/>
    <w:rsid w:val="008C5EE2"/>
    <w:rsid w:val="008C6281"/>
    <w:rsid w:val="008C63C1"/>
    <w:rsid w:val="008C663A"/>
    <w:rsid w:val="008C68D2"/>
    <w:rsid w:val="008C6AD3"/>
    <w:rsid w:val="008C7958"/>
    <w:rsid w:val="008C7998"/>
    <w:rsid w:val="008C7F86"/>
    <w:rsid w:val="008D00F1"/>
    <w:rsid w:val="008D09D7"/>
    <w:rsid w:val="008D106A"/>
    <w:rsid w:val="008D12E6"/>
    <w:rsid w:val="008D138F"/>
    <w:rsid w:val="008D16F3"/>
    <w:rsid w:val="008D190E"/>
    <w:rsid w:val="008D21C4"/>
    <w:rsid w:val="008D2357"/>
    <w:rsid w:val="008D23E9"/>
    <w:rsid w:val="008D251C"/>
    <w:rsid w:val="008D273C"/>
    <w:rsid w:val="008D27D5"/>
    <w:rsid w:val="008D282C"/>
    <w:rsid w:val="008D2D72"/>
    <w:rsid w:val="008D2EF6"/>
    <w:rsid w:val="008D3240"/>
    <w:rsid w:val="008D37CA"/>
    <w:rsid w:val="008D389D"/>
    <w:rsid w:val="008D3FEB"/>
    <w:rsid w:val="008D4445"/>
    <w:rsid w:val="008D4627"/>
    <w:rsid w:val="008D46A6"/>
    <w:rsid w:val="008D46BD"/>
    <w:rsid w:val="008D47E6"/>
    <w:rsid w:val="008D4CC8"/>
    <w:rsid w:val="008D4E5F"/>
    <w:rsid w:val="008D5E89"/>
    <w:rsid w:val="008D606A"/>
    <w:rsid w:val="008D66EF"/>
    <w:rsid w:val="008D7B53"/>
    <w:rsid w:val="008D7C13"/>
    <w:rsid w:val="008D7EF0"/>
    <w:rsid w:val="008E00C8"/>
    <w:rsid w:val="008E04B4"/>
    <w:rsid w:val="008E05D3"/>
    <w:rsid w:val="008E123C"/>
    <w:rsid w:val="008E1834"/>
    <w:rsid w:val="008E1CF8"/>
    <w:rsid w:val="008E1DD8"/>
    <w:rsid w:val="008E2180"/>
    <w:rsid w:val="008E241D"/>
    <w:rsid w:val="008E2764"/>
    <w:rsid w:val="008E3DAA"/>
    <w:rsid w:val="008E3E86"/>
    <w:rsid w:val="008E3FB9"/>
    <w:rsid w:val="008E4A54"/>
    <w:rsid w:val="008E4BAD"/>
    <w:rsid w:val="008E4CEC"/>
    <w:rsid w:val="008E5720"/>
    <w:rsid w:val="008E5A8D"/>
    <w:rsid w:val="008E6A84"/>
    <w:rsid w:val="008E7629"/>
    <w:rsid w:val="008F0928"/>
    <w:rsid w:val="008F0BBC"/>
    <w:rsid w:val="008F0C4C"/>
    <w:rsid w:val="008F0F31"/>
    <w:rsid w:val="008F1167"/>
    <w:rsid w:val="008F153C"/>
    <w:rsid w:val="008F1B9E"/>
    <w:rsid w:val="008F28A0"/>
    <w:rsid w:val="008F44E8"/>
    <w:rsid w:val="008F4D4D"/>
    <w:rsid w:val="008F50FD"/>
    <w:rsid w:val="008F596D"/>
    <w:rsid w:val="008F59A3"/>
    <w:rsid w:val="008F6930"/>
    <w:rsid w:val="008F6C14"/>
    <w:rsid w:val="008F761C"/>
    <w:rsid w:val="008F7D27"/>
    <w:rsid w:val="009005F8"/>
    <w:rsid w:val="00900924"/>
    <w:rsid w:val="0090106B"/>
    <w:rsid w:val="00902272"/>
    <w:rsid w:val="0090269A"/>
    <w:rsid w:val="0090280F"/>
    <w:rsid w:val="009029A0"/>
    <w:rsid w:val="00902F1D"/>
    <w:rsid w:val="00903654"/>
    <w:rsid w:val="009036D7"/>
    <w:rsid w:val="00903C2C"/>
    <w:rsid w:val="00903EED"/>
    <w:rsid w:val="00905563"/>
    <w:rsid w:val="00905969"/>
    <w:rsid w:val="00905A1F"/>
    <w:rsid w:val="00905CC8"/>
    <w:rsid w:val="00905DFC"/>
    <w:rsid w:val="009060B2"/>
    <w:rsid w:val="009068E4"/>
    <w:rsid w:val="009070ED"/>
    <w:rsid w:val="009079A6"/>
    <w:rsid w:val="00907BBB"/>
    <w:rsid w:val="00907C79"/>
    <w:rsid w:val="00910F99"/>
    <w:rsid w:val="0091105E"/>
    <w:rsid w:val="00911134"/>
    <w:rsid w:val="0091171A"/>
    <w:rsid w:val="00911780"/>
    <w:rsid w:val="00911A35"/>
    <w:rsid w:val="0091241A"/>
    <w:rsid w:val="0091327F"/>
    <w:rsid w:val="0091331D"/>
    <w:rsid w:val="009135B9"/>
    <w:rsid w:val="009136D5"/>
    <w:rsid w:val="00913D70"/>
    <w:rsid w:val="00913D90"/>
    <w:rsid w:val="00913DF7"/>
    <w:rsid w:val="00913E87"/>
    <w:rsid w:val="00914549"/>
    <w:rsid w:val="00915473"/>
    <w:rsid w:val="00915B3E"/>
    <w:rsid w:val="0091657D"/>
    <w:rsid w:val="00916BAC"/>
    <w:rsid w:val="00916E99"/>
    <w:rsid w:val="00917472"/>
    <w:rsid w:val="00917E7E"/>
    <w:rsid w:val="009201B7"/>
    <w:rsid w:val="009202AA"/>
    <w:rsid w:val="00921622"/>
    <w:rsid w:val="0092215C"/>
    <w:rsid w:val="00922243"/>
    <w:rsid w:val="00922DFD"/>
    <w:rsid w:val="00923F32"/>
    <w:rsid w:val="009245CB"/>
    <w:rsid w:val="009245F9"/>
    <w:rsid w:val="00925544"/>
    <w:rsid w:val="00925558"/>
    <w:rsid w:val="00925DAA"/>
    <w:rsid w:val="00925EF7"/>
    <w:rsid w:val="00926089"/>
    <w:rsid w:val="00926A37"/>
    <w:rsid w:val="00930123"/>
    <w:rsid w:val="00930BBF"/>
    <w:rsid w:val="00930F08"/>
    <w:rsid w:val="009310BD"/>
    <w:rsid w:val="009313F7"/>
    <w:rsid w:val="009318ED"/>
    <w:rsid w:val="00931B42"/>
    <w:rsid w:val="00931E41"/>
    <w:rsid w:val="00932154"/>
    <w:rsid w:val="00932237"/>
    <w:rsid w:val="009329F7"/>
    <w:rsid w:val="00932F7A"/>
    <w:rsid w:val="00933080"/>
    <w:rsid w:val="00933707"/>
    <w:rsid w:val="009339F4"/>
    <w:rsid w:val="00933A39"/>
    <w:rsid w:val="00934237"/>
    <w:rsid w:val="00934460"/>
    <w:rsid w:val="00934755"/>
    <w:rsid w:val="00934F01"/>
    <w:rsid w:val="009350CA"/>
    <w:rsid w:val="0093553C"/>
    <w:rsid w:val="00936423"/>
    <w:rsid w:val="009365D6"/>
    <w:rsid w:val="0093690E"/>
    <w:rsid w:val="00936AD6"/>
    <w:rsid w:val="0093725D"/>
    <w:rsid w:val="009376AC"/>
    <w:rsid w:val="0093773E"/>
    <w:rsid w:val="00937E97"/>
    <w:rsid w:val="0094026D"/>
    <w:rsid w:val="009406B1"/>
    <w:rsid w:val="00940B87"/>
    <w:rsid w:val="00940CF0"/>
    <w:rsid w:val="0094151B"/>
    <w:rsid w:val="00941E6B"/>
    <w:rsid w:val="009424BC"/>
    <w:rsid w:val="0094291E"/>
    <w:rsid w:val="00942D2B"/>
    <w:rsid w:val="0094337D"/>
    <w:rsid w:val="009434FF"/>
    <w:rsid w:val="00943591"/>
    <w:rsid w:val="009437E5"/>
    <w:rsid w:val="00943A34"/>
    <w:rsid w:val="009447AA"/>
    <w:rsid w:val="009448FC"/>
    <w:rsid w:val="00944FC1"/>
    <w:rsid w:val="00945008"/>
    <w:rsid w:val="0094590D"/>
    <w:rsid w:val="00945919"/>
    <w:rsid w:val="00945AF9"/>
    <w:rsid w:val="00945FC7"/>
    <w:rsid w:val="0094702C"/>
    <w:rsid w:val="00947D71"/>
    <w:rsid w:val="00947E96"/>
    <w:rsid w:val="00947F14"/>
    <w:rsid w:val="0094D04D"/>
    <w:rsid w:val="00950333"/>
    <w:rsid w:val="00950EC2"/>
    <w:rsid w:val="00951141"/>
    <w:rsid w:val="0095166A"/>
    <w:rsid w:val="0095195A"/>
    <w:rsid w:val="00952360"/>
    <w:rsid w:val="00952455"/>
    <w:rsid w:val="00953247"/>
    <w:rsid w:val="00953C8D"/>
    <w:rsid w:val="00953E9E"/>
    <w:rsid w:val="00954228"/>
    <w:rsid w:val="009545B8"/>
    <w:rsid w:val="0095474F"/>
    <w:rsid w:val="0095478F"/>
    <w:rsid w:val="00954E77"/>
    <w:rsid w:val="00954FCE"/>
    <w:rsid w:val="0095500E"/>
    <w:rsid w:val="009550C4"/>
    <w:rsid w:val="00955141"/>
    <w:rsid w:val="00955279"/>
    <w:rsid w:val="00955295"/>
    <w:rsid w:val="009563AD"/>
    <w:rsid w:val="009566EC"/>
    <w:rsid w:val="00956951"/>
    <w:rsid w:val="00956FC5"/>
    <w:rsid w:val="00957A44"/>
    <w:rsid w:val="00957EE8"/>
    <w:rsid w:val="009602A0"/>
    <w:rsid w:val="00960404"/>
    <w:rsid w:val="00960AB6"/>
    <w:rsid w:val="00960B36"/>
    <w:rsid w:val="00960C51"/>
    <w:rsid w:val="009613B8"/>
    <w:rsid w:val="009626E9"/>
    <w:rsid w:val="00963228"/>
    <w:rsid w:val="00963C14"/>
    <w:rsid w:val="00963CD0"/>
    <w:rsid w:val="00963D63"/>
    <w:rsid w:val="0096449C"/>
    <w:rsid w:val="009646CA"/>
    <w:rsid w:val="00964E95"/>
    <w:rsid w:val="0096563E"/>
    <w:rsid w:val="0096570B"/>
    <w:rsid w:val="00965D08"/>
    <w:rsid w:val="00966618"/>
    <w:rsid w:val="00966637"/>
    <w:rsid w:val="0096667A"/>
    <w:rsid w:val="009666B3"/>
    <w:rsid w:val="00966FED"/>
    <w:rsid w:val="00967B8F"/>
    <w:rsid w:val="00967BFD"/>
    <w:rsid w:val="00967D5D"/>
    <w:rsid w:val="00967E10"/>
    <w:rsid w:val="0096DBBC"/>
    <w:rsid w:val="0097004C"/>
    <w:rsid w:val="00971195"/>
    <w:rsid w:val="009718E3"/>
    <w:rsid w:val="009721C1"/>
    <w:rsid w:val="00972BD4"/>
    <w:rsid w:val="00972D08"/>
    <w:rsid w:val="00972D26"/>
    <w:rsid w:val="00973261"/>
    <w:rsid w:val="00973558"/>
    <w:rsid w:val="0097393C"/>
    <w:rsid w:val="00973F28"/>
    <w:rsid w:val="00974491"/>
    <w:rsid w:val="00974A2B"/>
    <w:rsid w:val="0097601F"/>
    <w:rsid w:val="00976713"/>
    <w:rsid w:val="009771EE"/>
    <w:rsid w:val="00977228"/>
    <w:rsid w:val="009776A4"/>
    <w:rsid w:val="00977A5D"/>
    <w:rsid w:val="00977B94"/>
    <w:rsid w:val="00977FC0"/>
    <w:rsid w:val="00977FC9"/>
    <w:rsid w:val="00980061"/>
    <w:rsid w:val="009802F2"/>
    <w:rsid w:val="0098095F"/>
    <w:rsid w:val="00981027"/>
    <w:rsid w:val="0098119D"/>
    <w:rsid w:val="00981864"/>
    <w:rsid w:val="009818EE"/>
    <w:rsid w:val="0098276A"/>
    <w:rsid w:val="00982841"/>
    <w:rsid w:val="009829B9"/>
    <w:rsid w:val="00982FE2"/>
    <w:rsid w:val="00982FFA"/>
    <w:rsid w:val="009839EB"/>
    <w:rsid w:val="00984176"/>
    <w:rsid w:val="009845D1"/>
    <w:rsid w:val="009845F6"/>
    <w:rsid w:val="00984B34"/>
    <w:rsid w:val="00984F38"/>
    <w:rsid w:val="00985092"/>
    <w:rsid w:val="0098599D"/>
    <w:rsid w:val="00985B95"/>
    <w:rsid w:val="0098635C"/>
    <w:rsid w:val="0098665F"/>
    <w:rsid w:val="00986834"/>
    <w:rsid w:val="009869F3"/>
    <w:rsid w:val="00986FA1"/>
    <w:rsid w:val="0098731F"/>
    <w:rsid w:val="0098768B"/>
    <w:rsid w:val="00987F6E"/>
    <w:rsid w:val="009900BB"/>
    <w:rsid w:val="0099029E"/>
    <w:rsid w:val="0099074A"/>
    <w:rsid w:val="00990B37"/>
    <w:rsid w:val="00990B39"/>
    <w:rsid w:val="009910CD"/>
    <w:rsid w:val="0099127D"/>
    <w:rsid w:val="0099180B"/>
    <w:rsid w:val="00991D0D"/>
    <w:rsid w:val="0099210E"/>
    <w:rsid w:val="009921D8"/>
    <w:rsid w:val="009924EF"/>
    <w:rsid w:val="00992779"/>
    <w:rsid w:val="009928D1"/>
    <w:rsid w:val="00992976"/>
    <w:rsid w:val="00992C3D"/>
    <w:rsid w:val="00992DFE"/>
    <w:rsid w:val="009935CB"/>
    <w:rsid w:val="0099402B"/>
    <w:rsid w:val="00994170"/>
    <w:rsid w:val="009943FD"/>
    <w:rsid w:val="00994972"/>
    <w:rsid w:val="00994EE0"/>
    <w:rsid w:val="00996833"/>
    <w:rsid w:val="009968D0"/>
    <w:rsid w:val="00996CAF"/>
    <w:rsid w:val="00997013"/>
    <w:rsid w:val="00997298"/>
    <w:rsid w:val="0099733F"/>
    <w:rsid w:val="00999E11"/>
    <w:rsid w:val="009A034B"/>
    <w:rsid w:val="009A0C36"/>
    <w:rsid w:val="009A16C5"/>
    <w:rsid w:val="009A1BE7"/>
    <w:rsid w:val="009A324E"/>
    <w:rsid w:val="009A34BE"/>
    <w:rsid w:val="009A52B9"/>
    <w:rsid w:val="009A5B1E"/>
    <w:rsid w:val="009A5DA9"/>
    <w:rsid w:val="009A5E39"/>
    <w:rsid w:val="009A67AE"/>
    <w:rsid w:val="009A6807"/>
    <w:rsid w:val="009A6BD0"/>
    <w:rsid w:val="009A6C29"/>
    <w:rsid w:val="009A73C5"/>
    <w:rsid w:val="009A77D7"/>
    <w:rsid w:val="009B052C"/>
    <w:rsid w:val="009B0620"/>
    <w:rsid w:val="009B0A1F"/>
    <w:rsid w:val="009B1273"/>
    <w:rsid w:val="009B12E8"/>
    <w:rsid w:val="009B1B58"/>
    <w:rsid w:val="009B1B90"/>
    <w:rsid w:val="009B1BD3"/>
    <w:rsid w:val="009B1F19"/>
    <w:rsid w:val="009B227A"/>
    <w:rsid w:val="009B276B"/>
    <w:rsid w:val="009B37E1"/>
    <w:rsid w:val="009B3B6F"/>
    <w:rsid w:val="009B43A6"/>
    <w:rsid w:val="009B445A"/>
    <w:rsid w:val="009B56D4"/>
    <w:rsid w:val="009B5701"/>
    <w:rsid w:val="009B5987"/>
    <w:rsid w:val="009B62DF"/>
    <w:rsid w:val="009B634E"/>
    <w:rsid w:val="009B65CC"/>
    <w:rsid w:val="009B6B06"/>
    <w:rsid w:val="009B7500"/>
    <w:rsid w:val="009B793B"/>
    <w:rsid w:val="009B7B35"/>
    <w:rsid w:val="009B7DEE"/>
    <w:rsid w:val="009C0362"/>
    <w:rsid w:val="009C06CF"/>
    <w:rsid w:val="009C07AA"/>
    <w:rsid w:val="009C0FCF"/>
    <w:rsid w:val="009C1543"/>
    <w:rsid w:val="009C1A8B"/>
    <w:rsid w:val="009C1C04"/>
    <w:rsid w:val="009C20DD"/>
    <w:rsid w:val="009C214F"/>
    <w:rsid w:val="009C21FC"/>
    <w:rsid w:val="009C27D5"/>
    <w:rsid w:val="009C2A3D"/>
    <w:rsid w:val="009C2DBB"/>
    <w:rsid w:val="009C32DF"/>
    <w:rsid w:val="009C35A8"/>
    <w:rsid w:val="009C3A4E"/>
    <w:rsid w:val="009C3C37"/>
    <w:rsid w:val="009C53A1"/>
    <w:rsid w:val="009C5631"/>
    <w:rsid w:val="009C56E2"/>
    <w:rsid w:val="009C670C"/>
    <w:rsid w:val="009C6A00"/>
    <w:rsid w:val="009C720E"/>
    <w:rsid w:val="009CF5AD"/>
    <w:rsid w:val="009D0302"/>
    <w:rsid w:val="009D0464"/>
    <w:rsid w:val="009D0D9C"/>
    <w:rsid w:val="009D109E"/>
    <w:rsid w:val="009D269D"/>
    <w:rsid w:val="009D2772"/>
    <w:rsid w:val="009D2947"/>
    <w:rsid w:val="009D3172"/>
    <w:rsid w:val="009D3538"/>
    <w:rsid w:val="009D3540"/>
    <w:rsid w:val="009D35BC"/>
    <w:rsid w:val="009D3896"/>
    <w:rsid w:val="009D3A6B"/>
    <w:rsid w:val="009D3AAD"/>
    <w:rsid w:val="009D3C49"/>
    <w:rsid w:val="009D3ED4"/>
    <w:rsid w:val="009D3F74"/>
    <w:rsid w:val="009D416C"/>
    <w:rsid w:val="009D41EE"/>
    <w:rsid w:val="009D41F2"/>
    <w:rsid w:val="009D44BB"/>
    <w:rsid w:val="009D50E1"/>
    <w:rsid w:val="009D5769"/>
    <w:rsid w:val="009D5A27"/>
    <w:rsid w:val="009D5E3F"/>
    <w:rsid w:val="009D5F0C"/>
    <w:rsid w:val="009D6D8B"/>
    <w:rsid w:val="009D6E02"/>
    <w:rsid w:val="009D750B"/>
    <w:rsid w:val="009D792C"/>
    <w:rsid w:val="009D79A0"/>
    <w:rsid w:val="009D7B9E"/>
    <w:rsid w:val="009D7E0A"/>
    <w:rsid w:val="009E0AE5"/>
    <w:rsid w:val="009E0B1E"/>
    <w:rsid w:val="009E0B93"/>
    <w:rsid w:val="009E137E"/>
    <w:rsid w:val="009E138B"/>
    <w:rsid w:val="009E1ABB"/>
    <w:rsid w:val="009E1D5D"/>
    <w:rsid w:val="009E1D88"/>
    <w:rsid w:val="009E1E90"/>
    <w:rsid w:val="009E28FE"/>
    <w:rsid w:val="009E2DB3"/>
    <w:rsid w:val="009E3350"/>
    <w:rsid w:val="009E3E51"/>
    <w:rsid w:val="009E3F66"/>
    <w:rsid w:val="009E4395"/>
    <w:rsid w:val="009E4761"/>
    <w:rsid w:val="009E4AE5"/>
    <w:rsid w:val="009E4CFC"/>
    <w:rsid w:val="009E4F66"/>
    <w:rsid w:val="009E5238"/>
    <w:rsid w:val="009E549E"/>
    <w:rsid w:val="009E54F3"/>
    <w:rsid w:val="009E55AB"/>
    <w:rsid w:val="009E6631"/>
    <w:rsid w:val="009E668B"/>
    <w:rsid w:val="009E7551"/>
    <w:rsid w:val="009F0448"/>
    <w:rsid w:val="009F05B2"/>
    <w:rsid w:val="009F093C"/>
    <w:rsid w:val="009F0BA9"/>
    <w:rsid w:val="009F0D84"/>
    <w:rsid w:val="009F0E5A"/>
    <w:rsid w:val="009F0FDF"/>
    <w:rsid w:val="009F1279"/>
    <w:rsid w:val="009F19D3"/>
    <w:rsid w:val="009F1FE4"/>
    <w:rsid w:val="009F2039"/>
    <w:rsid w:val="009F2988"/>
    <w:rsid w:val="009F2C6E"/>
    <w:rsid w:val="009F3221"/>
    <w:rsid w:val="009F369A"/>
    <w:rsid w:val="009F3C9E"/>
    <w:rsid w:val="009F3D60"/>
    <w:rsid w:val="009F3F6B"/>
    <w:rsid w:val="009F408C"/>
    <w:rsid w:val="009F4580"/>
    <w:rsid w:val="009F45AC"/>
    <w:rsid w:val="009F4600"/>
    <w:rsid w:val="009F4715"/>
    <w:rsid w:val="009F509A"/>
    <w:rsid w:val="009F519C"/>
    <w:rsid w:val="009F51AA"/>
    <w:rsid w:val="009F51BA"/>
    <w:rsid w:val="009F5359"/>
    <w:rsid w:val="009F5612"/>
    <w:rsid w:val="009F58CF"/>
    <w:rsid w:val="009F59FA"/>
    <w:rsid w:val="009F5BCB"/>
    <w:rsid w:val="009F60F2"/>
    <w:rsid w:val="009F6856"/>
    <w:rsid w:val="009F6CEA"/>
    <w:rsid w:val="009F6FE5"/>
    <w:rsid w:val="009F75D2"/>
    <w:rsid w:val="00A00676"/>
    <w:rsid w:val="00A007CF"/>
    <w:rsid w:val="00A00983"/>
    <w:rsid w:val="00A012C3"/>
    <w:rsid w:val="00A01401"/>
    <w:rsid w:val="00A018B8"/>
    <w:rsid w:val="00A018B9"/>
    <w:rsid w:val="00A01993"/>
    <w:rsid w:val="00A0276C"/>
    <w:rsid w:val="00A027C8"/>
    <w:rsid w:val="00A0292C"/>
    <w:rsid w:val="00A02EDE"/>
    <w:rsid w:val="00A0352B"/>
    <w:rsid w:val="00A036D8"/>
    <w:rsid w:val="00A038E4"/>
    <w:rsid w:val="00A03B4B"/>
    <w:rsid w:val="00A03BC0"/>
    <w:rsid w:val="00A04D30"/>
    <w:rsid w:val="00A04F58"/>
    <w:rsid w:val="00A05CA2"/>
    <w:rsid w:val="00A05F56"/>
    <w:rsid w:val="00A06195"/>
    <w:rsid w:val="00A06923"/>
    <w:rsid w:val="00A069CD"/>
    <w:rsid w:val="00A06F4F"/>
    <w:rsid w:val="00A077F4"/>
    <w:rsid w:val="00A1098B"/>
    <w:rsid w:val="00A10DB6"/>
    <w:rsid w:val="00A1112A"/>
    <w:rsid w:val="00A11551"/>
    <w:rsid w:val="00A11689"/>
    <w:rsid w:val="00A12CAE"/>
    <w:rsid w:val="00A133C3"/>
    <w:rsid w:val="00A1378B"/>
    <w:rsid w:val="00A137EC"/>
    <w:rsid w:val="00A14586"/>
    <w:rsid w:val="00A149CF"/>
    <w:rsid w:val="00A15AEC"/>
    <w:rsid w:val="00A15CB9"/>
    <w:rsid w:val="00A15CCC"/>
    <w:rsid w:val="00A15F25"/>
    <w:rsid w:val="00A15FB7"/>
    <w:rsid w:val="00A160F8"/>
    <w:rsid w:val="00A166A1"/>
    <w:rsid w:val="00A16B63"/>
    <w:rsid w:val="00A171D5"/>
    <w:rsid w:val="00A17908"/>
    <w:rsid w:val="00A17B29"/>
    <w:rsid w:val="00A207D3"/>
    <w:rsid w:val="00A20ED7"/>
    <w:rsid w:val="00A21356"/>
    <w:rsid w:val="00A2159B"/>
    <w:rsid w:val="00A217D7"/>
    <w:rsid w:val="00A221C0"/>
    <w:rsid w:val="00A225F7"/>
    <w:rsid w:val="00A228E6"/>
    <w:rsid w:val="00A22BC0"/>
    <w:rsid w:val="00A22DAE"/>
    <w:rsid w:val="00A22DD8"/>
    <w:rsid w:val="00A230C1"/>
    <w:rsid w:val="00A234BA"/>
    <w:rsid w:val="00A235B1"/>
    <w:rsid w:val="00A23632"/>
    <w:rsid w:val="00A236A4"/>
    <w:rsid w:val="00A23B01"/>
    <w:rsid w:val="00A23C62"/>
    <w:rsid w:val="00A241D6"/>
    <w:rsid w:val="00A2429C"/>
    <w:rsid w:val="00A244CC"/>
    <w:rsid w:val="00A24964"/>
    <w:rsid w:val="00A24B31"/>
    <w:rsid w:val="00A2500D"/>
    <w:rsid w:val="00A254D8"/>
    <w:rsid w:val="00A25564"/>
    <w:rsid w:val="00A25B3D"/>
    <w:rsid w:val="00A25D37"/>
    <w:rsid w:val="00A26136"/>
    <w:rsid w:val="00A26505"/>
    <w:rsid w:val="00A267C5"/>
    <w:rsid w:val="00A267E7"/>
    <w:rsid w:val="00A26E33"/>
    <w:rsid w:val="00A2734B"/>
    <w:rsid w:val="00A27581"/>
    <w:rsid w:val="00A27615"/>
    <w:rsid w:val="00A276D9"/>
    <w:rsid w:val="00A278EC"/>
    <w:rsid w:val="00A27DFB"/>
    <w:rsid w:val="00A301F4"/>
    <w:rsid w:val="00A30374"/>
    <w:rsid w:val="00A30B1F"/>
    <w:rsid w:val="00A30DCB"/>
    <w:rsid w:val="00A31C2C"/>
    <w:rsid w:val="00A31C95"/>
    <w:rsid w:val="00A32246"/>
    <w:rsid w:val="00A3225C"/>
    <w:rsid w:val="00A3254F"/>
    <w:rsid w:val="00A327F3"/>
    <w:rsid w:val="00A32B2B"/>
    <w:rsid w:val="00A32F22"/>
    <w:rsid w:val="00A34BF1"/>
    <w:rsid w:val="00A34E0B"/>
    <w:rsid w:val="00A353D3"/>
    <w:rsid w:val="00A3584C"/>
    <w:rsid w:val="00A37827"/>
    <w:rsid w:val="00A40252"/>
    <w:rsid w:val="00A4026F"/>
    <w:rsid w:val="00A4062E"/>
    <w:rsid w:val="00A40A62"/>
    <w:rsid w:val="00A423FD"/>
    <w:rsid w:val="00A427F8"/>
    <w:rsid w:val="00A42807"/>
    <w:rsid w:val="00A42890"/>
    <w:rsid w:val="00A42926"/>
    <w:rsid w:val="00A429D0"/>
    <w:rsid w:val="00A42AA4"/>
    <w:rsid w:val="00A42F49"/>
    <w:rsid w:val="00A435E6"/>
    <w:rsid w:val="00A43DA1"/>
    <w:rsid w:val="00A43EE2"/>
    <w:rsid w:val="00A43F8B"/>
    <w:rsid w:val="00A44D9C"/>
    <w:rsid w:val="00A455BE"/>
    <w:rsid w:val="00A46508"/>
    <w:rsid w:val="00A46910"/>
    <w:rsid w:val="00A46C26"/>
    <w:rsid w:val="00A46CF3"/>
    <w:rsid w:val="00A46D85"/>
    <w:rsid w:val="00A47C1C"/>
    <w:rsid w:val="00A47E60"/>
    <w:rsid w:val="00A5003F"/>
    <w:rsid w:val="00A505CE"/>
    <w:rsid w:val="00A506D4"/>
    <w:rsid w:val="00A51509"/>
    <w:rsid w:val="00A51B93"/>
    <w:rsid w:val="00A51CBB"/>
    <w:rsid w:val="00A535E2"/>
    <w:rsid w:val="00A53F25"/>
    <w:rsid w:val="00A540B4"/>
    <w:rsid w:val="00A55BF6"/>
    <w:rsid w:val="00A55F52"/>
    <w:rsid w:val="00A560D9"/>
    <w:rsid w:val="00A56739"/>
    <w:rsid w:val="00A5677A"/>
    <w:rsid w:val="00A56A89"/>
    <w:rsid w:val="00A574FA"/>
    <w:rsid w:val="00A57741"/>
    <w:rsid w:val="00A57BC8"/>
    <w:rsid w:val="00A57D69"/>
    <w:rsid w:val="00A60005"/>
    <w:rsid w:val="00A6029A"/>
    <w:rsid w:val="00A6029D"/>
    <w:rsid w:val="00A60754"/>
    <w:rsid w:val="00A60A79"/>
    <w:rsid w:val="00A60ABF"/>
    <w:rsid w:val="00A60B7E"/>
    <w:rsid w:val="00A60BDD"/>
    <w:rsid w:val="00A60CD5"/>
    <w:rsid w:val="00A610A1"/>
    <w:rsid w:val="00A61301"/>
    <w:rsid w:val="00A613B0"/>
    <w:rsid w:val="00A61500"/>
    <w:rsid w:val="00A61C64"/>
    <w:rsid w:val="00A6235F"/>
    <w:rsid w:val="00A62446"/>
    <w:rsid w:val="00A625DD"/>
    <w:rsid w:val="00A62872"/>
    <w:rsid w:val="00A62D6D"/>
    <w:rsid w:val="00A62E19"/>
    <w:rsid w:val="00A631C4"/>
    <w:rsid w:val="00A637C7"/>
    <w:rsid w:val="00A63FD2"/>
    <w:rsid w:val="00A6409A"/>
    <w:rsid w:val="00A6428D"/>
    <w:rsid w:val="00A64BD7"/>
    <w:rsid w:val="00A6520D"/>
    <w:rsid w:val="00A6554C"/>
    <w:rsid w:val="00A659CD"/>
    <w:rsid w:val="00A65DF6"/>
    <w:rsid w:val="00A661EF"/>
    <w:rsid w:val="00A67178"/>
    <w:rsid w:val="00A672ED"/>
    <w:rsid w:val="00A6797E"/>
    <w:rsid w:val="00A67D6A"/>
    <w:rsid w:val="00A70327"/>
    <w:rsid w:val="00A70961"/>
    <w:rsid w:val="00A71489"/>
    <w:rsid w:val="00A71D01"/>
    <w:rsid w:val="00A7276A"/>
    <w:rsid w:val="00A72A75"/>
    <w:rsid w:val="00A72F26"/>
    <w:rsid w:val="00A73143"/>
    <w:rsid w:val="00A731E5"/>
    <w:rsid w:val="00A7363F"/>
    <w:rsid w:val="00A73ADD"/>
    <w:rsid w:val="00A73C37"/>
    <w:rsid w:val="00A73E84"/>
    <w:rsid w:val="00A74141"/>
    <w:rsid w:val="00A7416A"/>
    <w:rsid w:val="00A74335"/>
    <w:rsid w:val="00A74680"/>
    <w:rsid w:val="00A7477E"/>
    <w:rsid w:val="00A74A70"/>
    <w:rsid w:val="00A75950"/>
    <w:rsid w:val="00A759AC"/>
    <w:rsid w:val="00A7616B"/>
    <w:rsid w:val="00A76338"/>
    <w:rsid w:val="00A767CA"/>
    <w:rsid w:val="00A76A2D"/>
    <w:rsid w:val="00A774C1"/>
    <w:rsid w:val="00A774F5"/>
    <w:rsid w:val="00A80A89"/>
    <w:rsid w:val="00A80FBA"/>
    <w:rsid w:val="00A814D6"/>
    <w:rsid w:val="00A81562"/>
    <w:rsid w:val="00A81B74"/>
    <w:rsid w:val="00A81F33"/>
    <w:rsid w:val="00A8235D"/>
    <w:rsid w:val="00A82C75"/>
    <w:rsid w:val="00A838F8"/>
    <w:rsid w:val="00A83977"/>
    <w:rsid w:val="00A841DB"/>
    <w:rsid w:val="00A843FC"/>
    <w:rsid w:val="00A84C41"/>
    <w:rsid w:val="00A84CA6"/>
    <w:rsid w:val="00A85010"/>
    <w:rsid w:val="00A859AE"/>
    <w:rsid w:val="00A861DE"/>
    <w:rsid w:val="00A87B55"/>
    <w:rsid w:val="00A87BD2"/>
    <w:rsid w:val="00A901AA"/>
    <w:rsid w:val="00A9141C"/>
    <w:rsid w:val="00A919CC"/>
    <w:rsid w:val="00A91AC1"/>
    <w:rsid w:val="00A92F65"/>
    <w:rsid w:val="00A93092"/>
    <w:rsid w:val="00A933F9"/>
    <w:rsid w:val="00A93401"/>
    <w:rsid w:val="00A9376C"/>
    <w:rsid w:val="00A943E6"/>
    <w:rsid w:val="00A946A1"/>
    <w:rsid w:val="00A9525D"/>
    <w:rsid w:val="00A952B2"/>
    <w:rsid w:val="00A952F9"/>
    <w:rsid w:val="00A95492"/>
    <w:rsid w:val="00A9593A"/>
    <w:rsid w:val="00A95B3F"/>
    <w:rsid w:val="00A96545"/>
    <w:rsid w:val="00A96F85"/>
    <w:rsid w:val="00A9755B"/>
    <w:rsid w:val="00A97936"/>
    <w:rsid w:val="00A97BE9"/>
    <w:rsid w:val="00AA0241"/>
    <w:rsid w:val="00AA0E94"/>
    <w:rsid w:val="00AA0EE3"/>
    <w:rsid w:val="00AA2651"/>
    <w:rsid w:val="00AA27E3"/>
    <w:rsid w:val="00AA2882"/>
    <w:rsid w:val="00AA3197"/>
    <w:rsid w:val="00AA53D3"/>
    <w:rsid w:val="00AA54F2"/>
    <w:rsid w:val="00AA5763"/>
    <w:rsid w:val="00AA57F5"/>
    <w:rsid w:val="00AA58A9"/>
    <w:rsid w:val="00AA5DEE"/>
    <w:rsid w:val="00AA6603"/>
    <w:rsid w:val="00AA661A"/>
    <w:rsid w:val="00AA6A52"/>
    <w:rsid w:val="00AA717C"/>
    <w:rsid w:val="00AA7413"/>
    <w:rsid w:val="00AA79FA"/>
    <w:rsid w:val="00AA7BD6"/>
    <w:rsid w:val="00AB02A3"/>
    <w:rsid w:val="00AB0A72"/>
    <w:rsid w:val="00AB0D42"/>
    <w:rsid w:val="00AB0E91"/>
    <w:rsid w:val="00AB0EFA"/>
    <w:rsid w:val="00AB1DA9"/>
    <w:rsid w:val="00AB22DB"/>
    <w:rsid w:val="00AB2AD7"/>
    <w:rsid w:val="00AB2CC1"/>
    <w:rsid w:val="00AB2D27"/>
    <w:rsid w:val="00AB329C"/>
    <w:rsid w:val="00AB35DB"/>
    <w:rsid w:val="00AB35EB"/>
    <w:rsid w:val="00AB377B"/>
    <w:rsid w:val="00AB3830"/>
    <w:rsid w:val="00AB468B"/>
    <w:rsid w:val="00AB4A67"/>
    <w:rsid w:val="00AB4B34"/>
    <w:rsid w:val="00AB5473"/>
    <w:rsid w:val="00AB5561"/>
    <w:rsid w:val="00AB5B34"/>
    <w:rsid w:val="00AB5E52"/>
    <w:rsid w:val="00AB6B7A"/>
    <w:rsid w:val="00AB6E47"/>
    <w:rsid w:val="00AB766E"/>
    <w:rsid w:val="00AB76EA"/>
    <w:rsid w:val="00AC0020"/>
    <w:rsid w:val="00AC011B"/>
    <w:rsid w:val="00AC0BE9"/>
    <w:rsid w:val="00AC11F7"/>
    <w:rsid w:val="00AC1265"/>
    <w:rsid w:val="00AC150E"/>
    <w:rsid w:val="00AC15CE"/>
    <w:rsid w:val="00AC19CE"/>
    <w:rsid w:val="00AC1A89"/>
    <w:rsid w:val="00AC1E3E"/>
    <w:rsid w:val="00AC1F5D"/>
    <w:rsid w:val="00AC24CB"/>
    <w:rsid w:val="00AC29DF"/>
    <w:rsid w:val="00AC358B"/>
    <w:rsid w:val="00AC411C"/>
    <w:rsid w:val="00AC4353"/>
    <w:rsid w:val="00AC4C3B"/>
    <w:rsid w:val="00AC4D26"/>
    <w:rsid w:val="00AC4EB3"/>
    <w:rsid w:val="00AC5682"/>
    <w:rsid w:val="00AC58C7"/>
    <w:rsid w:val="00AC5B46"/>
    <w:rsid w:val="00AC5BFF"/>
    <w:rsid w:val="00AC5DC9"/>
    <w:rsid w:val="00AC60EE"/>
    <w:rsid w:val="00AC6169"/>
    <w:rsid w:val="00AC624E"/>
    <w:rsid w:val="00AC6708"/>
    <w:rsid w:val="00AC6837"/>
    <w:rsid w:val="00AC699D"/>
    <w:rsid w:val="00AC70D1"/>
    <w:rsid w:val="00AC7174"/>
    <w:rsid w:val="00AC7423"/>
    <w:rsid w:val="00AC7767"/>
    <w:rsid w:val="00AD084F"/>
    <w:rsid w:val="00AD0B9F"/>
    <w:rsid w:val="00AD17A1"/>
    <w:rsid w:val="00AD1B41"/>
    <w:rsid w:val="00AD2BF9"/>
    <w:rsid w:val="00AD3D87"/>
    <w:rsid w:val="00AD3F0E"/>
    <w:rsid w:val="00AD4560"/>
    <w:rsid w:val="00AD48DD"/>
    <w:rsid w:val="00AD4F65"/>
    <w:rsid w:val="00AD598D"/>
    <w:rsid w:val="00AD5A77"/>
    <w:rsid w:val="00AD5C01"/>
    <w:rsid w:val="00AD5FD7"/>
    <w:rsid w:val="00AD6C8E"/>
    <w:rsid w:val="00AD719E"/>
    <w:rsid w:val="00AD73A7"/>
    <w:rsid w:val="00AD7434"/>
    <w:rsid w:val="00AD745B"/>
    <w:rsid w:val="00AD75C1"/>
    <w:rsid w:val="00AD7850"/>
    <w:rsid w:val="00AD7A5A"/>
    <w:rsid w:val="00AE0A3B"/>
    <w:rsid w:val="00AE204C"/>
    <w:rsid w:val="00AE2761"/>
    <w:rsid w:val="00AE29E3"/>
    <w:rsid w:val="00AE2A2A"/>
    <w:rsid w:val="00AE2ACA"/>
    <w:rsid w:val="00AE2E7E"/>
    <w:rsid w:val="00AE2F11"/>
    <w:rsid w:val="00AE33D7"/>
    <w:rsid w:val="00AE358F"/>
    <w:rsid w:val="00AE4026"/>
    <w:rsid w:val="00AE475E"/>
    <w:rsid w:val="00AE4817"/>
    <w:rsid w:val="00AE4846"/>
    <w:rsid w:val="00AE505C"/>
    <w:rsid w:val="00AE5B89"/>
    <w:rsid w:val="00AE5EF0"/>
    <w:rsid w:val="00AE681F"/>
    <w:rsid w:val="00AE6C3B"/>
    <w:rsid w:val="00AE7984"/>
    <w:rsid w:val="00AE7CC8"/>
    <w:rsid w:val="00AF0109"/>
    <w:rsid w:val="00AF04ED"/>
    <w:rsid w:val="00AF0A7E"/>
    <w:rsid w:val="00AF0ECA"/>
    <w:rsid w:val="00AF0FA0"/>
    <w:rsid w:val="00AF10EE"/>
    <w:rsid w:val="00AF18B0"/>
    <w:rsid w:val="00AF1DE2"/>
    <w:rsid w:val="00AF23A8"/>
    <w:rsid w:val="00AF261A"/>
    <w:rsid w:val="00AF2760"/>
    <w:rsid w:val="00AF28EB"/>
    <w:rsid w:val="00AF35B3"/>
    <w:rsid w:val="00AF3C0C"/>
    <w:rsid w:val="00AF3FE6"/>
    <w:rsid w:val="00AF411D"/>
    <w:rsid w:val="00AF426F"/>
    <w:rsid w:val="00AF4347"/>
    <w:rsid w:val="00AF4500"/>
    <w:rsid w:val="00AF4C92"/>
    <w:rsid w:val="00AF50C3"/>
    <w:rsid w:val="00AF513F"/>
    <w:rsid w:val="00AF5493"/>
    <w:rsid w:val="00AF5D94"/>
    <w:rsid w:val="00AF60C9"/>
    <w:rsid w:val="00AF6109"/>
    <w:rsid w:val="00AF6D46"/>
    <w:rsid w:val="00AF7CF6"/>
    <w:rsid w:val="00AF7DB1"/>
    <w:rsid w:val="00B00C21"/>
    <w:rsid w:val="00B00F8D"/>
    <w:rsid w:val="00B00F90"/>
    <w:rsid w:val="00B010B2"/>
    <w:rsid w:val="00B01312"/>
    <w:rsid w:val="00B013F8"/>
    <w:rsid w:val="00B0145A"/>
    <w:rsid w:val="00B01ADE"/>
    <w:rsid w:val="00B01B2F"/>
    <w:rsid w:val="00B0254C"/>
    <w:rsid w:val="00B02738"/>
    <w:rsid w:val="00B0349D"/>
    <w:rsid w:val="00B036ED"/>
    <w:rsid w:val="00B04128"/>
    <w:rsid w:val="00B04219"/>
    <w:rsid w:val="00B0427D"/>
    <w:rsid w:val="00B04525"/>
    <w:rsid w:val="00B04554"/>
    <w:rsid w:val="00B04B3D"/>
    <w:rsid w:val="00B04C1C"/>
    <w:rsid w:val="00B054BC"/>
    <w:rsid w:val="00B05A76"/>
    <w:rsid w:val="00B06010"/>
    <w:rsid w:val="00B071DD"/>
    <w:rsid w:val="00B07E69"/>
    <w:rsid w:val="00B07FBD"/>
    <w:rsid w:val="00B10178"/>
    <w:rsid w:val="00B10256"/>
    <w:rsid w:val="00B10440"/>
    <w:rsid w:val="00B108BE"/>
    <w:rsid w:val="00B1102B"/>
    <w:rsid w:val="00B11795"/>
    <w:rsid w:val="00B117E6"/>
    <w:rsid w:val="00B11CDB"/>
    <w:rsid w:val="00B11D1C"/>
    <w:rsid w:val="00B11F64"/>
    <w:rsid w:val="00B1236F"/>
    <w:rsid w:val="00B127D4"/>
    <w:rsid w:val="00B1319C"/>
    <w:rsid w:val="00B1349C"/>
    <w:rsid w:val="00B13577"/>
    <w:rsid w:val="00B13E7C"/>
    <w:rsid w:val="00B141B7"/>
    <w:rsid w:val="00B146EC"/>
    <w:rsid w:val="00B14980"/>
    <w:rsid w:val="00B14B6A"/>
    <w:rsid w:val="00B14C72"/>
    <w:rsid w:val="00B1613B"/>
    <w:rsid w:val="00B16478"/>
    <w:rsid w:val="00B16C18"/>
    <w:rsid w:val="00B178DD"/>
    <w:rsid w:val="00B17951"/>
    <w:rsid w:val="00B20326"/>
    <w:rsid w:val="00B203DE"/>
    <w:rsid w:val="00B21153"/>
    <w:rsid w:val="00B21A6A"/>
    <w:rsid w:val="00B22286"/>
    <w:rsid w:val="00B22A68"/>
    <w:rsid w:val="00B24D0F"/>
    <w:rsid w:val="00B2572D"/>
    <w:rsid w:val="00B25B78"/>
    <w:rsid w:val="00B25E0D"/>
    <w:rsid w:val="00B26EEA"/>
    <w:rsid w:val="00B26F71"/>
    <w:rsid w:val="00B27217"/>
    <w:rsid w:val="00B27E93"/>
    <w:rsid w:val="00B3077E"/>
    <w:rsid w:val="00B3100C"/>
    <w:rsid w:val="00B31054"/>
    <w:rsid w:val="00B3114B"/>
    <w:rsid w:val="00B32225"/>
    <w:rsid w:val="00B328E8"/>
    <w:rsid w:val="00B3295B"/>
    <w:rsid w:val="00B32E1C"/>
    <w:rsid w:val="00B3348B"/>
    <w:rsid w:val="00B33954"/>
    <w:rsid w:val="00B3549D"/>
    <w:rsid w:val="00B35603"/>
    <w:rsid w:val="00B359A2"/>
    <w:rsid w:val="00B35CA3"/>
    <w:rsid w:val="00B3687D"/>
    <w:rsid w:val="00B36AD6"/>
    <w:rsid w:val="00B36B8D"/>
    <w:rsid w:val="00B36E42"/>
    <w:rsid w:val="00B36F01"/>
    <w:rsid w:val="00B370F2"/>
    <w:rsid w:val="00B377C7"/>
    <w:rsid w:val="00B3798B"/>
    <w:rsid w:val="00B37B4C"/>
    <w:rsid w:val="00B37BFA"/>
    <w:rsid w:val="00B4031E"/>
    <w:rsid w:val="00B4083E"/>
    <w:rsid w:val="00B40A45"/>
    <w:rsid w:val="00B40BA3"/>
    <w:rsid w:val="00B41044"/>
    <w:rsid w:val="00B41310"/>
    <w:rsid w:val="00B4157F"/>
    <w:rsid w:val="00B41B24"/>
    <w:rsid w:val="00B41D85"/>
    <w:rsid w:val="00B42385"/>
    <w:rsid w:val="00B42574"/>
    <w:rsid w:val="00B42E19"/>
    <w:rsid w:val="00B4334A"/>
    <w:rsid w:val="00B435DA"/>
    <w:rsid w:val="00B43BCC"/>
    <w:rsid w:val="00B43D17"/>
    <w:rsid w:val="00B443E8"/>
    <w:rsid w:val="00B44715"/>
    <w:rsid w:val="00B44943"/>
    <w:rsid w:val="00B4499F"/>
    <w:rsid w:val="00B44A77"/>
    <w:rsid w:val="00B44AC6"/>
    <w:rsid w:val="00B44B34"/>
    <w:rsid w:val="00B44D25"/>
    <w:rsid w:val="00B44EFE"/>
    <w:rsid w:val="00B452FB"/>
    <w:rsid w:val="00B45F69"/>
    <w:rsid w:val="00B46B0F"/>
    <w:rsid w:val="00B46FD2"/>
    <w:rsid w:val="00B50B22"/>
    <w:rsid w:val="00B510B3"/>
    <w:rsid w:val="00B51227"/>
    <w:rsid w:val="00B5163A"/>
    <w:rsid w:val="00B51BB7"/>
    <w:rsid w:val="00B524F2"/>
    <w:rsid w:val="00B52E24"/>
    <w:rsid w:val="00B53401"/>
    <w:rsid w:val="00B535DC"/>
    <w:rsid w:val="00B535FD"/>
    <w:rsid w:val="00B538CA"/>
    <w:rsid w:val="00B53C15"/>
    <w:rsid w:val="00B54B45"/>
    <w:rsid w:val="00B54EE7"/>
    <w:rsid w:val="00B550FC"/>
    <w:rsid w:val="00B55668"/>
    <w:rsid w:val="00B55D5D"/>
    <w:rsid w:val="00B56570"/>
    <w:rsid w:val="00B56714"/>
    <w:rsid w:val="00B56DAC"/>
    <w:rsid w:val="00B571DA"/>
    <w:rsid w:val="00B572DC"/>
    <w:rsid w:val="00B577B6"/>
    <w:rsid w:val="00B5798F"/>
    <w:rsid w:val="00B57BAC"/>
    <w:rsid w:val="00B57DFF"/>
    <w:rsid w:val="00B60062"/>
    <w:rsid w:val="00B6008E"/>
    <w:rsid w:val="00B60172"/>
    <w:rsid w:val="00B612A3"/>
    <w:rsid w:val="00B612BC"/>
    <w:rsid w:val="00B614B1"/>
    <w:rsid w:val="00B6178D"/>
    <w:rsid w:val="00B61B7C"/>
    <w:rsid w:val="00B61D66"/>
    <w:rsid w:val="00B61D68"/>
    <w:rsid w:val="00B61DB7"/>
    <w:rsid w:val="00B63A4C"/>
    <w:rsid w:val="00B643A4"/>
    <w:rsid w:val="00B648B4"/>
    <w:rsid w:val="00B649A2"/>
    <w:rsid w:val="00B64B5E"/>
    <w:rsid w:val="00B64C69"/>
    <w:rsid w:val="00B64F81"/>
    <w:rsid w:val="00B653B7"/>
    <w:rsid w:val="00B65926"/>
    <w:rsid w:val="00B66F8E"/>
    <w:rsid w:val="00B67084"/>
    <w:rsid w:val="00B67AFE"/>
    <w:rsid w:val="00B70066"/>
    <w:rsid w:val="00B700D8"/>
    <w:rsid w:val="00B7084F"/>
    <w:rsid w:val="00B70B87"/>
    <w:rsid w:val="00B70E27"/>
    <w:rsid w:val="00B73256"/>
    <w:rsid w:val="00B73946"/>
    <w:rsid w:val="00B73AF2"/>
    <w:rsid w:val="00B73E4D"/>
    <w:rsid w:val="00B74486"/>
    <w:rsid w:val="00B74AE7"/>
    <w:rsid w:val="00B74BB2"/>
    <w:rsid w:val="00B74FC4"/>
    <w:rsid w:val="00B76C50"/>
    <w:rsid w:val="00B77672"/>
    <w:rsid w:val="00B77A76"/>
    <w:rsid w:val="00B77D46"/>
    <w:rsid w:val="00B8002D"/>
    <w:rsid w:val="00B80060"/>
    <w:rsid w:val="00B8007A"/>
    <w:rsid w:val="00B80176"/>
    <w:rsid w:val="00B80296"/>
    <w:rsid w:val="00B808DD"/>
    <w:rsid w:val="00B80E01"/>
    <w:rsid w:val="00B81125"/>
    <w:rsid w:val="00B811E2"/>
    <w:rsid w:val="00B8123B"/>
    <w:rsid w:val="00B81AD6"/>
    <w:rsid w:val="00B81B00"/>
    <w:rsid w:val="00B81EF5"/>
    <w:rsid w:val="00B824F2"/>
    <w:rsid w:val="00B82614"/>
    <w:rsid w:val="00B8292E"/>
    <w:rsid w:val="00B83415"/>
    <w:rsid w:val="00B83A74"/>
    <w:rsid w:val="00B83E92"/>
    <w:rsid w:val="00B8423C"/>
    <w:rsid w:val="00B84404"/>
    <w:rsid w:val="00B8446D"/>
    <w:rsid w:val="00B8450F"/>
    <w:rsid w:val="00B84E3D"/>
    <w:rsid w:val="00B84E67"/>
    <w:rsid w:val="00B84EED"/>
    <w:rsid w:val="00B8521E"/>
    <w:rsid w:val="00B857F4"/>
    <w:rsid w:val="00B8584B"/>
    <w:rsid w:val="00B860A1"/>
    <w:rsid w:val="00B86231"/>
    <w:rsid w:val="00B863D2"/>
    <w:rsid w:val="00B864E0"/>
    <w:rsid w:val="00B86693"/>
    <w:rsid w:val="00B87059"/>
    <w:rsid w:val="00B8714E"/>
    <w:rsid w:val="00B87545"/>
    <w:rsid w:val="00B907E8"/>
    <w:rsid w:val="00B910A9"/>
    <w:rsid w:val="00B91298"/>
    <w:rsid w:val="00B912B3"/>
    <w:rsid w:val="00B9177C"/>
    <w:rsid w:val="00B91DF5"/>
    <w:rsid w:val="00B9211B"/>
    <w:rsid w:val="00B9235D"/>
    <w:rsid w:val="00B92D7B"/>
    <w:rsid w:val="00B92F8E"/>
    <w:rsid w:val="00B9307D"/>
    <w:rsid w:val="00B935B3"/>
    <w:rsid w:val="00B936D5"/>
    <w:rsid w:val="00B93711"/>
    <w:rsid w:val="00B94039"/>
    <w:rsid w:val="00B94283"/>
    <w:rsid w:val="00B9431D"/>
    <w:rsid w:val="00B94C6C"/>
    <w:rsid w:val="00B94C89"/>
    <w:rsid w:val="00B94D18"/>
    <w:rsid w:val="00B95995"/>
    <w:rsid w:val="00B966CD"/>
    <w:rsid w:val="00B96F46"/>
    <w:rsid w:val="00B96FE2"/>
    <w:rsid w:val="00B974A8"/>
    <w:rsid w:val="00B975F1"/>
    <w:rsid w:val="00B97ED3"/>
    <w:rsid w:val="00BA02A0"/>
    <w:rsid w:val="00BA06CB"/>
    <w:rsid w:val="00BA0793"/>
    <w:rsid w:val="00BA0B01"/>
    <w:rsid w:val="00BA1825"/>
    <w:rsid w:val="00BA1A2B"/>
    <w:rsid w:val="00BA1D79"/>
    <w:rsid w:val="00BA239C"/>
    <w:rsid w:val="00BA24C3"/>
    <w:rsid w:val="00BA2A36"/>
    <w:rsid w:val="00BA31E1"/>
    <w:rsid w:val="00BA3FA6"/>
    <w:rsid w:val="00BA422C"/>
    <w:rsid w:val="00BA4882"/>
    <w:rsid w:val="00BA5821"/>
    <w:rsid w:val="00BA5B43"/>
    <w:rsid w:val="00BA5F44"/>
    <w:rsid w:val="00BA5F9A"/>
    <w:rsid w:val="00BA6758"/>
    <w:rsid w:val="00BA6A31"/>
    <w:rsid w:val="00BA7209"/>
    <w:rsid w:val="00BA7529"/>
    <w:rsid w:val="00BA7597"/>
    <w:rsid w:val="00BA782F"/>
    <w:rsid w:val="00BA78D9"/>
    <w:rsid w:val="00BB02A7"/>
    <w:rsid w:val="00BB08EF"/>
    <w:rsid w:val="00BB0DAA"/>
    <w:rsid w:val="00BB0F1E"/>
    <w:rsid w:val="00BB137E"/>
    <w:rsid w:val="00BB17FC"/>
    <w:rsid w:val="00BB1C40"/>
    <w:rsid w:val="00BB1C5E"/>
    <w:rsid w:val="00BB1F74"/>
    <w:rsid w:val="00BB27A6"/>
    <w:rsid w:val="00BB2BBB"/>
    <w:rsid w:val="00BB2C36"/>
    <w:rsid w:val="00BB2CA2"/>
    <w:rsid w:val="00BB3616"/>
    <w:rsid w:val="00BB4848"/>
    <w:rsid w:val="00BB4C21"/>
    <w:rsid w:val="00BB4FD5"/>
    <w:rsid w:val="00BB5199"/>
    <w:rsid w:val="00BB5563"/>
    <w:rsid w:val="00BB57F4"/>
    <w:rsid w:val="00BB58ED"/>
    <w:rsid w:val="00BB648F"/>
    <w:rsid w:val="00BB6ADC"/>
    <w:rsid w:val="00BB70DF"/>
    <w:rsid w:val="00BB770C"/>
    <w:rsid w:val="00BB7742"/>
    <w:rsid w:val="00BB7997"/>
    <w:rsid w:val="00BB7DE1"/>
    <w:rsid w:val="00BC0923"/>
    <w:rsid w:val="00BC0984"/>
    <w:rsid w:val="00BC0C17"/>
    <w:rsid w:val="00BC1079"/>
    <w:rsid w:val="00BC11F8"/>
    <w:rsid w:val="00BC168C"/>
    <w:rsid w:val="00BC2152"/>
    <w:rsid w:val="00BC2501"/>
    <w:rsid w:val="00BC2606"/>
    <w:rsid w:val="00BC2F91"/>
    <w:rsid w:val="00BC3834"/>
    <w:rsid w:val="00BC39E1"/>
    <w:rsid w:val="00BC3D3D"/>
    <w:rsid w:val="00BC406A"/>
    <w:rsid w:val="00BC4A74"/>
    <w:rsid w:val="00BC4ADE"/>
    <w:rsid w:val="00BC4D06"/>
    <w:rsid w:val="00BC50EF"/>
    <w:rsid w:val="00BC5102"/>
    <w:rsid w:val="00BC557B"/>
    <w:rsid w:val="00BC56A2"/>
    <w:rsid w:val="00BC56AA"/>
    <w:rsid w:val="00BC5C0D"/>
    <w:rsid w:val="00BC631B"/>
    <w:rsid w:val="00BC632A"/>
    <w:rsid w:val="00BC66F3"/>
    <w:rsid w:val="00BC6A63"/>
    <w:rsid w:val="00BC725C"/>
    <w:rsid w:val="00BC7335"/>
    <w:rsid w:val="00BC7556"/>
    <w:rsid w:val="00BC7C2A"/>
    <w:rsid w:val="00BC7D59"/>
    <w:rsid w:val="00BD0089"/>
    <w:rsid w:val="00BD015A"/>
    <w:rsid w:val="00BD038A"/>
    <w:rsid w:val="00BD0832"/>
    <w:rsid w:val="00BD0D7F"/>
    <w:rsid w:val="00BD0E94"/>
    <w:rsid w:val="00BD0F08"/>
    <w:rsid w:val="00BD175D"/>
    <w:rsid w:val="00BD1B11"/>
    <w:rsid w:val="00BD287E"/>
    <w:rsid w:val="00BD2BEC"/>
    <w:rsid w:val="00BD2C1B"/>
    <w:rsid w:val="00BD2C50"/>
    <w:rsid w:val="00BD2F2F"/>
    <w:rsid w:val="00BD30DE"/>
    <w:rsid w:val="00BD31AF"/>
    <w:rsid w:val="00BD3914"/>
    <w:rsid w:val="00BD4038"/>
    <w:rsid w:val="00BD4422"/>
    <w:rsid w:val="00BD44C5"/>
    <w:rsid w:val="00BD469A"/>
    <w:rsid w:val="00BD48AC"/>
    <w:rsid w:val="00BD4B4A"/>
    <w:rsid w:val="00BD53A8"/>
    <w:rsid w:val="00BD65EE"/>
    <w:rsid w:val="00BD68B1"/>
    <w:rsid w:val="00BD6DD7"/>
    <w:rsid w:val="00BD715D"/>
    <w:rsid w:val="00BD754E"/>
    <w:rsid w:val="00BD798A"/>
    <w:rsid w:val="00BD7A4A"/>
    <w:rsid w:val="00BD7AB3"/>
    <w:rsid w:val="00BD7C43"/>
    <w:rsid w:val="00BD7E26"/>
    <w:rsid w:val="00BE015D"/>
    <w:rsid w:val="00BE0199"/>
    <w:rsid w:val="00BE0C8A"/>
    <w:rsid w:val="00BE1EFC"/>
    <w:rsid w:val="00BE26B9"/>
    <w:rsid w:val="00BE2CEA"/>
    <w:rsid w:val="00BE2EEA"/>
    <w:rsid w:val="00BE30EC"/>
    <w:rsid w:val="00BE340C"/>
    <w:rsid w:val="00BE3442"/>
    <w:rsid w:val="00BE34AE"/>
    <w:rsid w:val="00BE4334"/>
    <w:rsid w:val="00BE4509"/>
    <w:rsid w:val="00BE45FB"/>
    <w:rsid w:val="00BE4D98"/>
    <w:rsid w:val="00BE4EB7"/>
    <w:rsid w:val="00BE4F2D"/>
    <w:rsid w:val="00BE500D"/>
    <w:rsid w:val="00BE53C0"/>
    <w:rsid w:val="00BE5466"/>
    <w:rsid w:val="00BE5ADA"/>
    <w:rsid w:val="00BE5D8B"/>
    <w:rsid w:val="00BE6571"/>
    <w:rsid w:val="00BE6672"/>
    <w:rsid w:val="00BE7560"/>
    <w:rsid w:val="00BE768A"/>
    <w:rsid w:val="00BE7847"/>
    <w:rsid w:val="00BE7C65"/>
    <w:rsid w:val="00BE7EE6"/>
    <w:rsid w:val="00BF0629"/>
    <w:rsid w:val="00BF0779"/>
    <w:rsid w:val="00BF0A78"/>
    <w:rsid w:val="00BF135A"/>
    <w:rsid w:val="00BF1682"/>
    <w:rsid w:val="00BF2120"/>
    <w:rsid w:val="00BF283E"/>
    <w:rsid w:val="00BF2906"/>
    <w:rsid w:val="00BF2B65"/>
    <w:rsid w:val="00BF313E"/>
    <w:rsid w:val="00BF3F1E"/>
    <w:rsid w:val="00BF46B6"/>
    <w:rsid w:val="00BF4A76"/>
    <w:rsid w:val="00BF56E1"/>
    <w:rsid w:val="00BF5A30"/>
    <w:rsid w:val="00BF5D29"/>
    <w:rsid w:val="00BF63A8"/>
    <w:rsid w:val="00BF670A"/>
    <w:rsid w:val="00BF6E98"/>
    <w:rsid w:val="00BF74C0"/>
    <w:rsid w:val="00BF79B1"/>
    <w:rsid w:val="00C00149"/>
    <w:rsid w:val="00C002CA"/>
    <w:rsid w:val="00C0033B"/>
    <w:rsid w:val="00C009F6"/>
    <w:rsid w:val="00C016E1"/>
    <w:rsid w:val="00C01AB9"/>
    <w:rsid w:val="00C01C5D"/>
    <w:rsid w:val="00C01EAD"/>
    <w:rsid w:val="00C030B1"/>
    <w:rsid w:val="00C03352"/>
    <w:rsid w:val="00C035D4"/>
    <w:rsid w:val="00C037D0"/>
    <w:rsid w:val="00C03F70"/>
    <w:rsid w:val="00C041F0"/>
    <w:rsid w:val="00C04AA4"/>
    <w:rsid w:val="00C04E44"/>
    <w:rsid w:val="00C0535D"/>
    <w:rsid w:val="00C05687"/>
    <w:rsid w:val="00C056C4"/>
    <w:rsid w:val="00C0614B"/>
    <w:rsid w:val="00C06906"/>
    <w:rsid w:val="00C06A9B"/>
    <w:rsid w:val="00C06DBB"/>
    <w:rsid w:val="00C07258"/>
    <w:rsid w:val="00C074D3"/>
    <w:rsid w:val="00C07918"/>
    <w:rsid w:val="00C103B5"/>
    <w:rsid w:val="00C11129"/>
    <w:rsid w:val="00C11BC5"/>
    <w:rsid w:val="00C11DA5"/>
    <w:rsid w:val="00C12C0B"/>
    <w:rsid w:val="00C12C7A"/>
    <w:rsid w:val="00C14696"/>
    <w:rsid w:val="00C146D5"/>
    <w:rsid w:val="00C14897"/>
    <w:rsid w:val="00C148F0"/>
    <w:rsid w:val="00C14A17"/>
    <w:rsid w:val="00C14A2C"/>
    <w:rsid w:val="00C14ECA"/>
    <w:rsid w:val="00C150B7"/>
    <w:rsid w:val="00C15619"/>
    <w:rsid w:val="00C16FAD"/>
    <w:rsid w:val="00C175F3"/>
    <w:rsid w:val="00C204BE"/>
    <w:rsid w:val="00C2078F"/>
    <w:rsid w:val="00C20D93"/>
    <w:rsid w:val="00C20E1F"/>
    <w:rsid w:val="00C20FE9"/>
    <w:rsid w:val="00C21049"/>
    <w:rsid w:val="00C21694"/>
    <w:rsid w:val="00C21ACF"/>
    <w:rsid w:val="00C21B2C"/>
    <w:rsid w:val="00C21E84"/>
    <w:rsid w:val="00C220CC"/>
    <w:rsid w:val="00C22A54"/>
    <w:rsid w:val="00C22ABA"/>
    <w:rsid w:val="00C22F1E"/>
    <w:rsid w:val="00C23B03"/>
    <w:rsid w:val="00C243A7"/>
    <w:rsid w:val="00C24857"/>
    <w:rsid w:val="00C24A43"/>
    <w:rsid w:val="00C24B0A"/>
    <w:rsid w:val="00C25B9E"/>
    <w:rsid w:val="00C25DDB"/>
    <w:rsid w:val="00C2606D"/>
    <w:rsid w:val="00C2611C"/>
    <w:rsid w:val="00C26639"/>
    <w:rsid w:val="00C26954"/>
    <w:rsid w:val="00C27678"/>
    <w:rsid w:val="00C310D4"/>
    <w:rsid w:val="00C313FC"/>
    <w:rsid w:val="00C31693"/>
    <w:rsid w:val="00C31844"/>
    <w:rsid w:val="00C3194B"/>
    <w:rsid w:val="00C31999"/>
    <w:rsid w:val="00C31E0A"/>
    <w:rsid w:val="00C3206A"/>
    <w:rsid w:val="00C321EF"/>
    <w:rsid w:val="00C32722"/>
    <w:rsid w:val="00C32779"/>
    <w:rsid w:val="00C32869"/>
    <w:rsid w:val="00C328B0"/>
    <w:rsid w:val="00C32E16"/>
    <w:rsid w:val="00C32E18"/>
    <w:rsid w:val="00C3319F"/>
    <w:rsid w:val="00C332D9"/>
    <w:rsid w:val="00C3368A"/>
    <w:rsid w:val="00C33D4C"/>
    <w:rsid w:val="00C33F27"/>
    <w:rsid w:val="00C342E4"/>
    <w:rsid w:val="00C3445D"/>
    <w:rsid w:val="00C34644"/>
    <w:rsid w:val="00C34B7E"/>
    <w:rsid w:val="00C34EFC"/>
    <w:rsid w:val="00C35443"/>
    <w:rsid w:val="00C35550"/>
    <w:rsid w:val="00C3575F"/>
    <w:rsid w:val="00C35806"/>
    <w:rsid w:val="00C35B01"/>
    <w:rsid w:val="00C3727E"/>
    <w:rsid w:val="00C37B87"/>
    <w:rsid w:val="00C37EF3"/>
    <w:rsid w:val="00C40078"/>
    <w:rsid w:val="00C40675"/>
    <w:rsid w:val="00C40B1C"/>
    <w:rsid w:val="00C4157D"/>
    <w:rsid w:val="00C4178B"/>
    <w:rsid w:val="00C41922"/>
    <w:rsid w:val="00C41C12"/>
    <w:rsid w:val="00C41DDC"/>
    <w:rsid w:val="00C423DD"/>
    <w:rsid w:val="00C42990"/>
    <w:rsid w:val="00C42E0C"/>
    <w:rsid w:val="00C42FBD"/>
    <w:rsid w:val="00C4316C"/>
    <w:rsid w:val="00C43A0C"/>
    <w:rsid w:val="00C43BD2"/>
    <w:rsid w:val="00C43D2D"/>
    <w:rsid w:val="00C43E21"/>
    <w:rsid w:val="00C43FFB"/>
    <w:rsid w:val="00C44226"/>
    <w:rsid w:val="00C4466E"/>
    <w:rsid w:val="00C44BEC"/>
    <w:rsid w:val="00C44D63"/>
    <w:rsid w:val="00C44DD4"/>
    <w:rsid w:val="00C44FC6"/>
    <w:rsid w:val="00C451A0"/>
    <w:rsid w:val="00C45A3A"/>
    <w:rsid w:val="00C45EAD"/>
    <w:rsid w:val="00C468AD"/>
    <w:rsid w:val="00C47722"/>
    <w:rsid w:val="00C47A9C"/>
    <w:rsid w:val="00C47E30"/>
    <w:rsid w:val="00C501F9"/>
    <w:rsid w:val="00C5068F"/>
    <w:rsid w:val="00C50AC6"/>
    <w:rsid w:val="00C50F48"/>
    <w:rsid w:val="00C51213"/>
    <w:rsid w:val="00C51BBE"/>
    <w:rsid w:val="00C5234E"/>
    <w:rsid w:val="00C52667"/>
    <w:rsid w:val="00C5296E"/>
    <w:rsid w:val="00C529DB"/>
    <w:rsid w:val="00C53430"/>
    <w:rsid w:val="00C53AF3"/>
    <w:rsid w:val="00C5407A"/>
    <w:rsid w:val="00C542F5"/>
    <w:rsid w:val="00C547B9"/>
    <w:rsid w:val="00C54996"/>
    <w:rsid w:val="00C55149"/>
    <w:rsid w:val="00C55209"/>
    <w:rsid w:val="00C5546F"/>
    <w:rsid w:val="00C55527"/>
    <w:rsid w:val="00C5561F"/>
    <w:rsid w:val="00C5653D"/>
    <w:rsid w:val="00C56D42"/>
    <w:rsid w:val="00C56DB8"/>
    <w:rsid w:val="00C572E7"/>
    <w:rsid w:val="00C57313"/>
    <w:rsid w:val="00C575BD"/>
    <w:rsid w:val="00C60455"/>
    <w:rsid w:val="00C60746"/>
    <w:rsid w:val="00C608D3"/>
    <w:rsid w:val="00C609BD"/>
    <w:rsid w:val="00C60E47"/>
    <w:rsid w:val="00C6101F"/>
    <w:rsid w:val="00C6102E"/>
    <w:rsid w:val="00C61A52"/>
    <w:rsid w:val="00C61BAE"/>
    <w:rsid w:val="00C61E80"/>
    <w:rsid w:val="00C621C7"/>
    <w:rsid w:val="00C62E35"/>
    <w:rsid w:val="00C62FCE"/>
    <w:rsid w:val="00C634C2"/>
    <w:rsid w:val="00C63772"/>
    <w:rsid w:val="00C6407C"/>
    <w:rsid w:val="00C641DC"/>
    <w:rsid w:val="00C6447E"/>
    <w:rsid w:val="00C64667"/>
    <w:rsid w:val="00C64F5D"/>
    <w:rsid w:val="00C64FB5"/>
    <w:rsid w:val="00C6502C"/>
    <w:rsid w:val="00C6539A"/>
    <w:rsid w:val="00C65777"/>
    <w:rsid w:val="00C6684D"/>
    <w:rsid w:val="00C67076"/>
    <w:rsid w:val="00C670F9"/>
    <w:rsid w:val="00C677A1"/>
    <w:rsid w:val="00C67F91"/>
    <w:rsid w:val="00C70B0D"/>
    <w:rsid w:val="00C716E8"/>
    <w:rsid w:val="00C71C2B"/>
    <w:rsid w:val="00C71CB3"/>
    <w:rsid w:val="00C72734"/>
    <w:rsid w:val="00C7290E"/>
    <w:rsid w:val="00C73212"/>
    <w:rsid w:val="00C733F8"/>
    <w:rsid w:val="00C73668"/>
    <w:rsid w:val="00C7489B"/>
    <w:rsid w:val="00C74B50"/>
    <w:rsid w:val="00C74FB8"/>
    <w:rsid w:val="00C75899"/>
    <w:rsid w:val="00C7594C"/>
    <w:rsid w:val="00C76120"/>
    <w:rsid w:val="00C76271"/>
    <w:rsid w:val="00C76514"/>
    <w:rsid w:val="00C7724F"/>
    <w:rsid w:val="00C776BC"/>
    <w:rsid w:val="00C779A6"/>
    <w:rsid w:val="00C779D4"/>
    <w:rsid w:val="00C77EF6"/>
    <w:rsid w:val="00C803B4"/>
    <w:rsid w:val="00C805AE"/>
    <w:rsid w:val="00C80AE4"/>
    <w:rsid w:val="00C80C0B"/>
    <w:rsid w:val="00C8118B"/>
    <w:rsid w:val="00C8120B"/>
    <w:rsid w:val="00C81D9B"/>
    <w:rsid w:val="00C82551"/>
    <w:rsid w:val="00C82998"/>
    <w:rsid w:val="00C82EA3"/>
    <w:rsid w:val="00C82F3A"/>
    <w:rsid w:val="00C83343"/>
    <w:rsid w:val="00C8339F"/>
    <w:rsid w:val="00C833DD"/>
    <w:rsid w:val="00C84589"/>
    <w:rsid w:val="00C850C3"/>
    <w:rsid w:val="00C85A07"/>
    <w:rsid w:val="00C873AD"/>
    <w:rsid w:val="00C87A12"/>
    <w:rsid w:val="00C87DAB"/>
    <w:rsid w:val="00C9013D"/>
    <w:rsid w:val="00C905BD"/>
    <w:rsid w:val="00C906DC"/>
    <w:rsid w:val="00C90A5E"/>
    <w:rsid w:val="00C90C83"/>
    <w:rsid w:val="00C90F49"/>
    <w:rsid w:val="00C91704"/>
    <w:rsid w:val="00C91716"/>
    <w:rsid w:val="00C91997"/>
    <w:rsid w:val="00C919DD"/>
    <w:rsid w:val="00C91A7B"/>
    <w:rsid w:val="00C921D7"/>
    <w:rsid w:val="00C9299A"/>
    <w:rsid w:val="00C929A7"/>
    <w:rsid w:val="00C92B7B"/>
    <w:rsid w:val="00C92EAC"/>
    <w:rsid w:val="00C93068"/>
    <w:rsid w:val="00C93A43"/>
    <w:rsid w:val="00C951A8"/>
    <w:rsid w:val="00C955F7"/>
    <w:rsid w:val="00C9563D"/>
    <w:rsid w:val="00C956FD"/>
    <w:rsid w:val="00C95C17"/>
    <w:rsid w:val="00C95F63"/>
    <w:rsid w:val="00C9617F"/>
    <w:rsid w:val="00C96C2F"/>
    <w:rsid w:val="00C97A71"/>
    <w:rsid w:val="00CA0758"/>
    <w:rsid w:val="00CA11D8"/>
    <w:rsid w:val="00CA1BAE"/>
    <w:rsid w:val="00CA1F12"/>
    <w:rsid w:val="00CA2916"/>
    <w:rsid w:val="00CA3101"/>
    <w:rsid w:val="00CA37CC"/>
    <w:rsid w:val="00CA445D"/>
    <w:rsid w:val="00CA5337"/>
    <w:rsid w:val="00CA5823"/>
    <w:rsid w:val="00CA60FA"/>
    <w:rsid w:val="00CA61E3"/>
    <w:rsid w:val="00CA6682"/>
    <w:rsid w:val="00CA6BD3"/>
    <w:rsid w:val="00CA6FA5"/>
    <w:rsid w:val="00CA75B5"/>
    <w:rsid w:val="00CB0F59"/>
    <w:rsid w:val="00CB1174"/>
    <w:rsid w:val="00CB1346"/>
    <w:rsid w:val="00CB13CA"/>
    <w:rsid w:val="00CB1775"/>
    <w:rsid w:val="00CB20EF"/>
    <w:rsid w:val="00CB241B"/>
    <w:rsid w:val="00CB29A5"/>
    <w:rsid w:val="00CB384F"/>
    <w:rsid w:val="00CB41CB"/>
    <w:rsid w:val="00CB4C3E"/>
    <w:rsid w:val="00CB582B"/>
    <w:rsid w:val="00CB66F3"/>
    <w:rsid w:val="00CB6F2B"/>
    <w:rsid w:val="00CB7011"/>
    <w:rsid w:val="00CB76A7"/>
    <w:rsid w:val="00CC0299"/>
    <w:rsid w:val="00CC1309"/>
    <w:rsid w:val="00CC1344"/>
    <w:rsid w:val="00CC139B"/>
    <w:rsid w:val="00CC141D"/>
    <w:rsid w:val="00CC17AA"/>
    <w:rsid w:val="00CC1A2F"/>
    <w:rsid w:val="00CC1AF8"/>
    <w:rsid w:val="00CC1B10"/>
    <w:rsid w:val="00CC1FB4"/>
    <w:rsid w:val="00CC1FD9"/>
    <w:rsid w:val="00CC2E97"/>
    <w:rsid w:val="00CC36F7"/>
    <w:rsid w:val="00CC37BA"/>
    <w:rsid w:val="00CC394B"/>
    <w:rsid w:val="00CC3FE0"/>
    <w:rsid w:val="00CC42B2"/>
    <w:rsid w:val="00CC46C5"/>
    <w:rsid w:val="00CC46CE"/>
    <w:rsid w:val="00CC4880"/>
    <w:rsid w:val="00CC5239"/>
    <w:rsid w:val="00CC5C04"/>
    <w:rsid w:val="00CC69B0"/>
    <w:rsid w:val="00CC791B"/>
    <w:rsid w:val="00CC7B05"/>
    <w:rsid w:val="00CC7D93"/>
    <w:rsid w:val="00CC7E9A"/>
    <w:rsid w:val="00CD04F8"/>
    <w:rsid w:val="00CD0620"/>
    <w:rsid w:val="00CD0ED0"/>
    <w:rsid w:val="00CD13D0"/>
    <w:rsid w:val="00CD1561"/>
    <w:rsid w:val="00CD18D3"/>
    <w:rsid w:val="00CD1A68"/>
    <w:rsid w:val="00CD1C25"/>
    <w:rsid w:val="00CD2016"/>
    <w:rsid w:val="00CD2829"/>
    <w:rsid w:val="00CD29F8"/>
    <w:rsid w:val="00CD2B71"/>
    <w:rsid w:val="00CD2DEC"/>
    <w:rsid w:val="00CD321D"/>
    <w:rsid w:val="00CD324B"/>
    <w:rsid w:val="00CD32BE"/>
    <w:rsid w:val="00CD3907"/>
    <w:rsid w:val="00CD3DF1"/>
    <w:rsid w:val="00CD3F09"/>
    <w:rsid w:val="00CD44BA"/>
    <w:rsid w:val="00CD47C4"/>
    <w:rsid w:val="00CD4B5E"/>
    <w:rsid w:val="00CD4BA0"/>
    <w:rsid w:val="00CD598A"/>
    <w:rsid w:val="00CD5DCE"/>
    <w:rsid w:val="00CD6291"/>
    <w:rsid w:val="00CD62F1"/>
    <w:rsid w:val="00CD640F"/>
    <w:rsid w:val="00CD73D1"/>
    <w:rsid w:val="00CE0101"/>
    <w:rsid w:val="00CE048D"/>
    <w:rsid w:val="00CE0BA8"/>
    <w:rsid w:val="00CE11F3"/>
    <w:rsid w:val="00CE1449"/>
    <w:rsid w:val="00CE195D"/>
    <w:rsid w:val="00CE1C66"/>
    <w:rsid w:val="00CE1F7D"/>
    <w:rsid w:val="00CE1F82"/>
    <w:rsid w:val="00CE3211"/>
    <w:rsid w:val="00CE4266"/>
    <w:rsid w:val="00CE4602"/>
    <w:rsid w:val="00CE4904"/>
    <w:rsid w:val="00CE4934"/>
    <w:rsid w:val="00CE4A54"/>
    <w:rsid w:val="00CE4FBA"/>
    <w:rsid w:val="00CE507B"/>
    <w:rsid w:val="00CE5180"/>
    <w:rsid w:val="00CE52D6"/>
    <w:rsid w:val="00CE5497"/>
    <w:rsid w:val="00CE5A35"/>
    <w:rsid w:val="00CE5B29"/>
    <w:rsid w:val="00CE6667"/>
    <w:rsid w:val="00CE6750"/>
    <w:rsid w:val="00CE67B5"/>
    <w:rsid w:val="00CE7068"/>
    <w:rsid w:val="00CE726D"/>
    <w:rsid w:val="00CE7E60"/>
    <w:rsid w:val="00CF007C"/>
    <w:rsid w:val="00CF0430"/>
    <w:rsid w:val="00CF04D0"/>
    <w:rsid w:val="00CF0812"/>
    <w:rsid w:val="00CF0960"/>
    <w:rsid w:val="00CF0B34"/>
    <w:rsid w:val="00CF1A41"/>
    <w:rsid w:val="00CF1C6F"/>
    <w:rsid w:val="00CF2067"/>
    <w:rsid w:val="00CF2179"/>
    <w:rsid w:val="00CF2582"/>
    <w:rsid w:val="00CF338B"/>
    <w:rsid w:val="00CF3AD8"/>
    <w:rsid w:val="00CF4082"/>
    <w:rsid w:val="00CF4440"/>
    <w:rsid w:val="00CF44F0"/>
    <w:rsid w:val="00CF4E28"/>
    <w:rsid w:val="00CF51C6"/>
    <w:rsid w:val="00CF5905"/>
    <w:rsid w:val="00CF5C2B"/>
    <w:rsid w:val="00CF619E"/>
    <w:rsid w:val="00CF652E"/>
    <w:rsid w:val="00CF6A9C"/>
    <w:rsid w:val="00CF6F7D"/>
    <w:rsid w:val="00CF73C9"/>
    <w:rsid w:val="00CF7C03"/>
    <w:rsid w:val="00D0087D"/>
    <w:rsid w:val="00D009E7"/>
    <w:rsid w:val="00D00F38"/>
    <w:rsid w:val="00D01270"/>
    <w:rsid w:val="00D0151D"/>
    <w:rsid w:val="00D016E4"/>
    <w:rsid w:val="00D018AA"/>
    <w:rsid w:val="00D01D1F"/>
    <w:rsid w:val="00D0284A"/>
    <w:rsid w:val="00D043BE"/>
    <w:rsid w:val="00D04441"/>
    <w:rsid w:val="00D0450D"/>
    <w:rsid w:val="00D04823"/>
    <w:rsid w:val="00D04965"/>
    <w:rsid w:val="00D04BF7"/>
    <w:rsid w:val="00D04CC6"/>
    <w:rsid w:val="00D04D79"/>
    <w:rsid w:val="00D04E5B"/>
    <w:rsid w:val="00D04F87"/>
    <w:rsid w:val="00D0538E"/>
    <w:rsid w:val="00D058E0"/>
    <w:rsid w:val="00D059AE"/>
    <w:rsid w:val="00D059BB"/>
    <w:rsid w:val="00D06274"/>
    <w:rsid w:val="00D06593"/>
    <w:rsid w:val="00D067FD"/>
    <w:rsid w:val="00D06B56"/>
    <w:rsid w:val="00D0786A"/>
    <w:rsid w:val="00D07CD3"/>
    <w:rsid w:val="00D07DDB"/>
    <w:rsid w:val="00D108E6"/>
    <w:rsid w:val="00D109BF"/>
    <w:rsid w:val="00D109EA"/>
    <w:rsid w:val="00D10ABB"/>
    <w:rsid w:val="00D10F80"/>
    <w:rsid w:val="00D110EA"/>
    <w:rsid w:val="00D1113E"/>
    <w:rsid w:val="00D11698"/>
    <w:rsid w:val="00D119E9"/>
    <w:rsid w:val="00D12204"/>
    <w:rsid w:val="00D1238A"/>
    <w:rsid w:val="00D12CE7"/>
    <w:rsid w:val="00D12F4D"/>
    <w:rsid w:val="00D1307A"/>
    <w:rsid w:val="00D133BB"/>
    <w:rsid w:val="00D13561"/>
    <w:rsid w:val="00D13792"/>
    <w:rsid w:val="00D139A5"/>
    <w:rsid w:val="00D14323"/>
    <w:rsid w:val="00D14FE1"/>
    <w:rsid w:val="00D15097"/>
    <w:rsid w:val="00D15EF2"/>
    <w:rsid w:val="00D163BB"/>
    <w:rsid w:val="00D16D61"/>
    <w:rsid w:val="00D16D94"/>
    <w:rsid w:val="00D17559"/>
    <w:rsid w:val="00D17761"/>
    <w:rsid w:val="00D21146"/>
    <w:rsid w:val="00D218FC"/>
    <w:rsid w:val="00D21D56"/>
    <w:rsid w:val="00D222EB"/>
    <w:rsid w:val="00D22A28"/>
    <w:rsid w:val="00D22ABA"/>
    <w:rsid w:val="00D2419A"/>
    <w:rsid w:val="00D246BB"/>
    <w:rsid w:val="00D24714"/>
    <w:rsid w:val="00D25088"/>
    <w:rsid w:val="00D254F6"/>
    <w:rsid w:val="00D2559F"/>
    <w:rsid w:val="00D25B73"/>
    <w:rsid w:val="00D26199"/>
    <w:rsid w:val="00D264E4"/>
    <w:rsid w:val="00D267CF"/>
    <w:rsid w:val="00D272F5"/>
    <w:rsid w:val="00D27D2F"/>
    <w:rsid w:val="00D30280"/>
    <w:rsid w:val="00D30C8C"/>
    <w:rsid w:val="00D31174"/>
    <w:rsid w:val="00D31675"/>
    <w:rsid w:val="00D329B9"/>
    <w:rsid w:val="00D329D6"/>
    <w:rsid w:val="00D32D1D"/>
    <w:rsid w:val="00D33082"/>
    <w:rsid w:val="00D33F88"/>
    <w:rsid w:val="00D33FC9"/>
    <w:rsid w:val="00D3590B"/>
    <w:rsid w:val="00D362C8"/>
    <w:rsid w:val="00D36CD0"/>
    <w:rsid w:val="00D36E0D"/>
    <w:rsid w:val="00D40624"/>
    <w:rsid w:val="00D40939"/>
    <w:rsid w:val="00D40C54"/>
    <w:rsid w:val="00D410DB"/>
    <w:rsid w:val="00D41365"/>
    <w:rsid w:val="00D4142C"/>
    <w:rsid w:val="00D4185E"/>
    <w:rsid w:val="00D41970"/>
    <w:rsid w:val="00D41D82"/>
    <w:rsid w:val="00D41E5F"/>
    <w:rsid w:val="00D421D4"/>
    <w:rsid w:val="00D422F3"/>
    <w:rsid w:val="00D42584"/>
    <w:rsid w:val="00D42EE1"/>
    <w:rsid w:val="00D43383"/>
    <w:rsid w:val="00D43566"/>
    <w:rsid w:val="00D436E5"/>
    <w:rsid w:val="00D43831"/>
    <w:rsid w:val="00D443D2"/>
    <w:rsid w:val="00D44EB6"/>
    <w:rsid w:val="00D450CA"/>
    <w:rsid w:val="00D45735"/>
    <w:rsid w:val="00D46238"/>
    <w:rsid w:val="00D468B3"/>
    <w:rsid w:val="00D46ABC"/>
    <w:rsid w:val="00D4711C"/>
    <w:rsid w:val="00D471A1"/>
    <w:rsid w:val="00D47EE1"/>
    <w:rsid w:val="00D5051F"/>
    <w:rsid w:val="00D50614"/>
    <w:rsid w:val="00D5072A"/>
    <w:rsid w:val="00D50BC6"/>
    <w:rsid w:val="00D50DE0"/>
    <w:rsid w:val="00D5166F"/>
    <w:rsid w:val="00D51C00"/>
    <w:rsid w:val="00D5201A"/>
    <w:rsid w:val="00D5212A"/>
    <w:rsid w:val="00D5251B"/>
    <w:rsid w:val="00D5270E"/>
    <w:rsid w:val="00D528EB"/>
    <w:rsid w:val="00D52E21"/>
    <w:rsid w:val="00D53071"/>
    <w:rsid w:val="00D53287"/>
    <w:rsid w:val="00D53BE0"/>
    <w:rsid w:val="00D53CF2"/>
    <w:rsid w:val="00D547FC"/>
    <w:rsid w:val="00D554CD"/>
    <w:rsid w:val="00D555D2"/>
    <w:rsid w:val="00D55E1B"/>
    <w:rsid w:val="00D56747"/>
    <w:rsid w:val="00D56A5E"/>
    <w:rsid w:val="00D56DD2"/>
    <w:rsid w:val="00D576EB"/>
    <w:rsid w:val="00D5792D"/>
    <w:rsid w:val="00D57936"/>
    <w:rsid w:val="00D5796A"/>
    <w:rsid w:val="00D57A7F"/>
    <w:rsid w:val="00D605E8"/>
    <w:rsid w:val="00D60C60"/>
    <w:rsid w:val="00D61090"/>
    <w:rsid w:val="00D6160F"/>
    <w:rsid w:val="00D61830"/>
    <w:rsid w:val="00D61D16"/>
    <w:rsid w:val="00D61EC8"/>
    <w:rsid w:val="00D62794"/>
    <w:rsid w:val="00D62FD6"/>
    <w:rsid w:val="00D6336C"/>
    <w:rsid w:val="00D634E8"/>
    <w:rsid w:val="00D6384E"/>
    <w:rsid w:val="00D63CA8"/>
    <w:rsid w:val="00D64624"/>
    <w:rsid w:val="00D646B5"/>
    <w:rsid w:val="00D656BB"/>
    <w:rsid w:val="00D65A07"/>
    <w:rsid w:val="00D65BC3"/>
    <w:rsid w:val="00D65FD6"/>
    <w:rsid w:val="00D674FB"/>
    <w:rsid w:val="00D67C2B"/>
    <w:rsid w:val="00D70024"/>
    <w:rsid w:val="00D70A83"/>
    <w:rsid w:val="00D7194F"/>
    <w:rsid w:val="00D71CEE"/>
    <w:rsid w:val="00D71EB4"/>
    <w:rsid w:val="00D72BBA"/>
    <w:rsid w:val="00D73544"/>
    <w:rsid w:val="00D735BF"/>
    <w:rsid w:val="00D738D3"/>
    <w:rsid w:val="00D7406F"/>
    <w:rsid w:val="00D74560"/>
    <w:rsid w:val="00D748AF"/>
    <w:rsid w:val="00D74A21"/>
    <w:rsid w:val="00D74F1B"/>
    <w:rsid w:val="00D7527E"/>
    <w:rsid w:val="00D754BB"/>
    <w:rsid w:val="00D75864"/>
    <w:rsid w:val="00D75DC0"/>
    <w:rsid w:val="00D76629"/>
    <w:rsid w:val="00D76934"/>
    <w:rsid w:val="00D77126"/>
    <w:rsid w:val="00D775CA"/>
    <w:rsid w:val="00D776C2"/>
    <w:rsid w:val="00D77D9A"/>
    <w:rsid w:val="00D77E4F"/>
    <w:rsid w:val="00D80C35"/>
    <w:rsid w:val="00D80CF0"/>
    <w:rsid w:val="00D80F35"/>
    <w:rsid w:val="00D80FEC"/>
    <w:rsid w:val="00D8128C"/>
    <w:rsid w:val="00D815C6"/>
    <w:rsid w:val="00D81B19"/>
    <w:rsid w:val="00D827EF"/>
    <w:rsid w:val="00D82A51"/>
    <w:rsid w:val="00D82D37"/>
    <w:rsid w:val="00D8427F"/>
    <w:rsid w:val="00D844D7"/>
    <w:rsid w:val="00D84AFD"/>
    <w:rsid w:val="00D84EF8"/>
    <w:rsid w:val="00D8515D"/>
    <w:rsid w:val="00D858A4"/>
    <w:rsid w:val="00D85C20"/>
    <w:rsid w:val="00D85E43"/>
    <w:rsid w:val="00D85E5C"/>
    <w:rsid w:val="00D85F37"/>
    <w:rsid w:val="00D86190"/>
    <w:rsid w:val="00D8668D"/>
    <w:rsid w:val="00D879E8"/>
    <w:rsid w:val="00D87D89"/>
    <w:rsid w:val="00D87D97"/>
    <w:rsid w:val="00D90041"/>
    <w:rsid w:val="00D9027A"/>
    <w:rsid w:val="00D902DC"/>
    <w:rsid w:val="00D9068B"/>
    <w:rsid w:val="00D90F94"/>
    <w:rsid w:val="00D91410"/>
    <w:rsid w:val="00D920AF"/>
    <w:rsid w:val="00D924E0"/>
    <w:rsid w:val="00D929A4"/>
    <w:rsid w:val="00D92B20"/>
    <w:rsid w:val="00D92B24"/>
    <w:rsid w:val="00D92C0C"/>
    <w:rsid w:val="00D92DC7"/>
    <w:rsid w:val="00D93403"/>
    <w:rsid w:val="00D936C8"/>
    <w:rsid w:val="00D93ED5"/>
    <w:rsid w:val="00D942D3"/>
    <w:rsid w:val="00D945D3"/>
    <w:rsid w:val="00D9474B"/>
    <w:rsid w:val="00D94B47"/>
    <w:rsid w:val="00D94D7E"/>
    <w:rsid w:val="00D94EC2"/>
    <w:rsid w:val="00D95381"/>
    <w:rsid w:val="00D9540D"/>
    <w:rsid w:val="00D95781"/>
    <w:rsid w:val="00D95A0E"/>
    <w:rsid w:val="00D95C29"/>
    <w:rsid w:val="00D96270"/>
    <w:rsid w:val="00D96294"/>
    <w:rsid w:val="00D96316"/>
    <w:rsid w:val="00D9666A"/>
    <w:rsid w:val="00D9695A"/>
    <w:rsid w:val="00D96DA0"/>
    <w:rsid w:val="00D96F32"/>
    <w:rsid w:val="00D97438"/>
    <w:rsid w:val="00DA03E8"/>
    <w:rsid w:val="00DA0B14"/>
    <w:rsid w:val="00DA15AA"/>
    <w:rsid w:val="00DA18DC"/>
    <w:rsid w:val="00DA2385"/>
    <w:rsid w:val="00DA275F"/>
    <w:rsid w:val="00DA2879"/>
    <w:rsid w:val="00DA2AB7"/>
    <w:rsid w:val="00DA3471"/>
    <w:rsid w:val="00DA3798"/>
    <w:rsid w:val="00DA3AB5"/>
    <w:rsid w:val="00DA3E64"/>
    <w:rsid w:val="00DA4EB5"/>
    <w:rsid w:val="00DA5177"/>
    <w:rsid w:val="00DA5A50"/>
    <w:rsid w:val="00DA6946"/>
    <w:rsid w:val="00DA6E61"/>
    <w:rsid w:val="00DA6F51"/>
    <w:rsid w:val="00DA6FE5"/>
    <w:rsid w:val="00DA7875"/>
    <w:rsid w:val="00DB05C1"/>
    <w:rsid w:val="00DB0604"/>
    <w:rsid w:val="00DB076B"/>
    <w:rsid w:val="00DB0799"/>
    <w:rsid w:val="00DB1765"/>
    <w:rsid w:val="00DB2575"/>
    <w:rsid w:val="00DB2D08"/>
    <w:rsid w:val="00DB373D"/>
    <w:rsid w:val="00DB384B"/>
    <w:rsid w:val="00DB3E97"/>
    <w:rsid w:val="00DB4559"/>
    <w:rsid w:val="00DB4A66"/>
    <w:rsid w:val="00DB4CAC"/>
    <w:rsid w:val="00DB59E1"/>
    <w:rsid w:val="00DB6545"/>
    <w:rsid w:val="00DB6654"/>
    <w:rsid w:val="00DB750D"/>
    <w:rsid w:val="00DB7BCC"/>
    <w:rsid w:val="00DC00FE"/>
    <w:rsid w:val="00DC03C4"/>
    <w:rsid w:val="00DC0855"/>
    <w:rsid w:val="00DC0903"/>
    <w:rsid w:val="00DC0AD1"/>
    <w:rsid w:val="00DC18E7"/>
    <w:rsid w:val="00DC1B87"/>
    <w:rsid w:val="00DC22D4"/>
    <w:rsid w:val="00DC276F"/>
    <w:rsid w:val="00DC2E82"/>
    <w:rsid w:val="00DC3141"/>
    <w:rsid w:val="00DC3825"/>
    <w:rsid w:val="00DC4106"/>
    <w:rsid w:val="00DC4786"/>
    <w:rsid w:val="00DC4ADC"/>
    <w:rsid w:val="00DC50B0"/>
    <w:rsid w:val="00DC51D5"/>
    <w:rsid w:val="00DC6E87"/>
    <w:rsid w:val="00DC73A8"/>
    <w:rsid w:val="00DC7588"/>
    <w:rsid w:val="00DC75B2"/>
    <w:rsid w:val="00DD03A4"/>
    <w:rsid w:val="00DD03C1"/>
    <w:rsid w:val="00DD06CB"/>
    <w:rsid w:val="00DD0CA0"/>
    <w:rsid w:val="00DD0D3D"/>
    <w:rsid w:val="00DD0E1B"/>
    <w:rsid w:val="00DD1032"/>
    <w:rsid w:val="00DD10F7"/>
    <w:rsid w:val="00DD135C"/>
    <w:rsid w:val="00DD1384"/>
    <w:rsid w:val="00DD13AF"/>
    <w:rsid w:val="00DD1C50"/>
    <w:rsid w:val="00DD25CD"/>
    <w:rsid w:val="00DD3F41"/>
    <w:rsid w:val="00DD4440"/>
    <w:rsid w:val="00DD4A61"/>
    <w:rsid w:val="00DD4C2D"/>
    <w:rsid w:val="00DD4EBF"/>
    <w:rsid w:val="00DD5073"/>
    <w:rsid w:val="00DD5101"/>
    <w:rsid w:val="00DD5216"/>
    <w:rsid w:val="00DD6001"/>
    <w:rsid w:val="00DD651E"/>
    <w:rsid w:val="00DD6AE8"/>
    <w:rsid w:val="00DD6B42"/>
    <w:rsid w:val="00DD75FB"/>
    <w:rsid w:val="00DD7851"/>
    <w:rsid w:val="00DD789C"/>
    <w:rsid w:val="00DE0761"/>
    <w:rsid w:val="00DE0C07"/>
    <w:rsid w:val="00DE15A2"/>
    <w:rsid w:val="00DE188E"/>
    <w:rsid w:val="00DE194B"/>
    <w:rsid w:val="00DE1A00"/>
    <w:rsid w:val="00DE1CD2"/>
    <w:rsid w:val="00DE1F25"/>
    <w:rsid w:val="00DE1FEF"/>
    <w:rsid w:val="00DE290D"/>
    <w:rsid w:val="00DE316B"/>
    <w:rsid w:val="00DE36E3"/>
    <w:rsid w:val="00DE39CE"/>
    <w:rsid w:val="00DE3FC7"/>
    <w:rsid w:val="00DE4340"/>
    <w:rsid w:val="00DE4346"/>
    <w:rsid w:val="00DE4836"/>
    <w:rsid w:val="00DE4EBA"/>
    <w:rsid w:val="00DE56B9"/>
    <w:rsid w:val="00DE5ABC"/>
    <w:rsid w:val="00DE605A"/>
    <w:rsid w:val="00DE61A1"/>
    <w:rsid w:val="00DE67B4"/>
    <w:rsid w:val="00DE67C2"/>
    <w:rsid w:val="00DE709C"/>
    <w:rsid w:val="00DE7CF4"/>
    <w:rsid w:val="00DF00EE"/>
    <w:rsid w:val="00DF0A39"/>
    <w:rsid w:val="00DF0B78"/>
    <w:rsid w:val="00DF0CED"/>
    <w:rsid w:val="00DF0ED6"/>
    <w:rsid w:val="00DF159E"/>
    <w:rsid w:val="00DF18A7"/>
    <w:rsid w:val="00DF1F55"/>
    <w:rsid w:val="00DF205B"/>
    <w:rsid w:val="00DF20CD"/>
    <w:rsid w:val="00DF2154"/>
    <w:rsid w:val="00DF21D6"/>
    <w:rsid w:val="00DF2D1C"/>
    <w:rsid w:val="00DF30F9"/>
    <w:rsid w:val="00DF341B"/>
    <w:rsid w:val="00DF3BED"/>
    <w:rsid w:val="00DF3CD4"/>
    <w:rsid w:val="00DF40A6"/>
    <w:rsid w:val="00DF43A7"/>
    <w:rsid w:val="00DF4C92"/>
    <w:rsid w:val="00DF4E4D"/>
    <w:rsid w:val="00DF4E52"/>
    <w:rsid w:val="00DF537C"/>
    <w:rsid w:val="00DF5950"/>
    <w:rsid w:val="00DF5BEE"/>
    <w:rsid w:val="00DF5D21"/>
    <w:rsid w:val="00DF5E10"/>
    <w:rsid w:val="00DF6C9B"/>
    <w:rsid w:val="00DF724D"/>
    <w:rsid w:val="00DF7250"/>
    <w:rsid w:val="00DF77DE"/>
    <w:rsid w:val="00DF7D0B"/>
    <w:rsid w:val="00DF7E55"/>
    <w:rsid w:val="00E00308"/>
    <w:rsid w:val="00E00469"/>
    <w:rsid w:val="00E00F7E"/>
    <w:rsid w:val="00E01106"/>
    <w:rsid w:val="00E01129"/>
    <w:rsid w:val="00E011C0"/>
    <w:rsid w:val="00E01C92"/>
    <w:rsid w:val="00E02342"/>
    <w:rsid w:val="00E024D8"/>
    <w:rsid w:val="00E02EAA"/>
    <w:rsid w:val="00E0302F"/>
    <w:rsid w:val="00E0352F"/>
    <w:rsid w:val="00E0359D"/>
    <w:rsid w:val="00E03606"/>
    <w:rsid w:val="00E0386C"/>
    <w:rsid w:val="00E039D7"/>
    <w:rsid w:val="00E03CD0"/>
    <w:rsid w:val="00E03D99"/>
    <w:rsid w:val="00E04449"/>
    <w:rsid w:val="00E045E1"/>
    <w:rsid w:val="00E04961"/>
    <w:rsid w:val="00E0502E"/>
    <w:rsid w:val="00E051B2"/>
    <w:rsid w:val="00E05244"/>
    <w:rsid w:val="00E06174"/>
    <w:rsid w:val="00E0648D"/>
    <w:rsid w:val="00E064BF"/>
    <w:rsid w:val="00E06C56"/>
    <w:rsid w:val="00E0764B"/>
    <w:rsid w:val="00E07CE6"/>
    <w:rsid w:val="00E10688"/>
    <w:rsid w:val="00E1149A"/>
    <w:rsid w:val="00E11688"/>
    <w:rsid w:val="00E125A4"/>
    <w:rsid w:val="00E12C8E"/>
    <w:rsid w:val="00E12CE2"/>
    <w:rsid w:val="00E12D32"/>
    <w:rsid w:val="00E12F87"/>
    <w:rsid w:val="00E131B3"/>
    <w:rsid w:val="00E13BBD"/>
    <w:rsid w:val="00E144AB"/>
    <w:rsid w:val="00E15002"/>
    <w:rsid w:val="00E151D3"/>
    <w:rsid w:val="00E152C0"/>
    <w:rsid w:val="00E1573A"/>
    <w:rsid w:val="00E15C18"/>
    <w:rsid w:val="00E15ECD"/>
    <w:rsid w:val="00E16249"/>
    <w:rsid w:val="00E17DCE"/>
    <w:rsid w:val="00E20B64"/>
    <w:rsid w:val="00E215AC"/>
    <w:rsid w:val="00E21801"/>
    <w:rsid w:val="00E21953"/>
    <w:rsid w:val="00E224FA"/>
    <w:rsid w:val="00E2265E"/>
    <w:rsid w:val="00E22BB1"/>
    <w:rsid w:val="00E236A4"/>
    <w:rsid w:val="00E23C89"/>
    <w:rsid w:val="00E23DBC"/>
    <w:rsid w:val="00E23E0A"/>
    <w:rsid w:val="00E24666"/>
    <w:rsid w:val="00E24E49"/>
    <w:rsid w:val="00E25704"/>
    <w:rsid w:val="00E25945"/>
    <w:rsid w:val="00E25B63"/>
    <w:rsid w:val="00E26177"/>
    <w:rsid w:val="00E26197"/>
    <w:rsid w:val="00E26D37"/>
    <w:rsid w:val="00E26DD4"/>
    <w:rsid w:val="00E27092"/>
    <w:rsid w:val="00E2774C"/>
    <w:rsid w:val="00E27C7D"/>
    <w:rsid w:val="00E3017F"/>
    <w:rsid w:val="00E307F4"/>
    <w:rsid w:val="00E30B08"/>
    <w:rsid w:val="00E30D6F"/>
    <w:rsid w:val="00E30F6F"/>
    <w:rsid w:val="00E317E3"/>
    <w:rsid w:val="00E332F5"/>
    <w:rsid w:val="00E3359D"/>
    <w:rsid w:val="00E33A94"/>
    <w:rsid w:val="00E33B56"/>
    <w:rsid w:val="00E34BA9"/>
    <w:rsid w:val="00E3500A"/>
    <w:rsid w:val="00E3519F"/>
    <w:rsid w:val="00E35465"/>
    <w:rsid w:val="00E35742"/>
    <w:rsid w:val="00E35BCF"/>
    <w:rsid w:val="00E35D53"/>
    <w:rsid w:val="00E361A8"/>
    <w:rsid w:val="00E36733"/>
    <w:rsid w:val="00E36F73"/>
    <w:rsid w:val="00E36FCD"/>
    <w:rsid w:val="00E37162"/>
    <w:rsid w:val="00E37616"/>
    <w:rsid w:val="00E3778A"/>
    <w:rsid w:val="00E37896"/>
    <w:rsid w:val="00E37DF5"/>
    <w:rsid w:val="00E401CC"/>
    <w:rsid w:val="00E40AA6"/>
    <w:rsid w:val="00E40B0C"/>
    <w:rsid w:val="00E40BE7"/>
    <w:rsid w:val="00E40E20"/>
    <w:rsid w:val="00E41326"/>
    <w:rsid w:val="00E41870"/>
    <w:rsid w:val="00E41889"/>
    <w:rsid w:val="00E421ED"/>
    <w:rsid w:val="00E422AB"/>
    <w:rsid w:val="00E424B2"/>
    <w:rsid w:val="00E425CC"/>
    <w:rsid w:val="00E43CDF"/>
    <w:rsid w:val="00E44960"/>
    <w:rsid w:val="00E45805"/>
    <w:rsid w:val="00E45D40"/>
    <w:rsid w:val="00E46311"/>
    <w:rsid w:val="00E46483"/>
    <w:rsid w:val="00E46841"/>
    <w:rsid w:val="00E46912"/>
    <w:rsid w:val="00E46B4B"/>
    <w:rsid w:val="00E46FCD"/>
    <w:rsid w:val="00E47318"/>
    <w:rsid w:val="00E4750B"/>
    <w:rsid w:val="00E47938"/>
    <w:rsid w:val="00E50725"/>
    <w:rsid w:val="00E50A35"/>
    <w:rsid w:val="00E50B6E"/>
    <w:rsid w:val="00E513AB"/>
    <w:rsid w:val="00E51C2A"/>
    <w:rsid w:val="00E51D77"/>
    <w:rsid w:val="00E52374"/>
    <w:rsid w:val="00E523D9"/>
    <w:rsid w:val="00E53634"/>
    <w:rsid w:val="00E536BB"/>
    <w:rsid w:val="00E54539"/>
    <w:rsid w:val="00E546E7"/>
    <w:rsid w:val="00E54860"/>
    <w:rsid w:val="00E54E17"/>
    <w:rsid w:val="00E54E58"/>
    <w:rsid w:val="00E553CF"/>
    <w:rsid w:val="00E55A81"/>
    <w:rsid w:val="00E5603A"/>
    <w:rsid w:val="00E5653E"/>
    <w:rsid w:val="00E56C01"/>
    <w:rsid w:val="00E6045D"/>
    <w:rsid w:val="00E6060F"/>
    <w:rsid w:val="00E60BD5"/>
    <w:rsid w:val="00E60BF1"/>
    <w:rsid w:val="00E60C35"/>
    <w:rsid w:val="00E61AC2"/>
    <w:rsid w:val="00E62745"/>
    <w:rsid w:val="00E62968"/>
    <w:rsid w:val="00E632DE"/>
    <w:rsid w:val="00E6336B"/>
    <w:rsid w:val="00E64843"/>
    <w:rsid w:val="00E64EA0"/>
    <w:rsid w:val="00E6527D"/>
    <w:rsid w:val="00E6556F"/>
    <w:rsid w:val="00E65617"/>
    <w:rsid w:val="00E6608C"/>
    <w:rsid w:val="00E6635B"/>
    <w:rsid w:val="00E66473"/>
    <w:rsid w:val="00E67989"/>
    <w:rsid w:val="00E700A9"/>
    <w:rsid w:val="00E7014D"/>
    <w:rsid w:val="00E7060B"/>
    <w:rsid w:val="00E70A27"/>
    <w:rsid w:val="00E70B33"/>
    <w:rsid w:val="00E71192"/>
    <w:rsid w:val="00E71578"/>
    <w:rsid w:val="00E7159A"/>
    <w:rsid w:val="00E7164A"/>
    <w:rsid w:val="00E71710"/>
    <w:rsid w:val="00E718F5"/>
    <w:rsid w:val="00E71CBE"/>
    <w:rsid w:val="00E721C4"/>
    <w:rsid w:val="00E7291E"/>
    <w:rsid w:val="00E731D0"/>
    <w:rsid w:val="00E731FF"/>
    <w:rsid w:val="00E73795"/>
    <w:rsid w:val="00E73971"/>
    <w:rsid w:val="00E73A51"/>
    <w:rsid w:val="00E73EF1"/>
    <w:rsid w:val="00E74695"/>
    <w:rsid w:val="00E74CC8"/>
    <w:rsid w:val="00E7535D"/>
    <w:rsid w:val="00E75777"/>
    <w:rsid w:val="00E76093"/>
    <w:rsid w:val="00E7627F"/>
    <w:rsid w:val="00E768C4"/>
    <w:rsid w:val="00E776D0"/>
    <w:rsid w:val="00E77821"/>
    <w:rsid w:val="00E81777"/>
    <w:rsid w:val="00E818D5"/>
    <w:rsid w:val="00E826F4"/>
    <w:rsid w:val="00E829A1"/>
    <w:rsid w:val="00E829CD"/>
    <w:rsid w:val="00E82CAA"/>
    <w:rsid w:val="00E82DB7"/>
    <w:rsid w:val="00E83BFA"/>
    <w:rsid w:val="00E8409D"/>
    <w:rsid w:val="00E846FC"/>
    <w:rsid w:val="00E847B5"/>
    <w:rsid w:val="00E85180"/>
    <w:rsid w:val="00E85771"/>
    <w:rsid w:val="00E85AC0"/>
    <w:rsid w:val="00E8600C"/>
    <w:rsid w:val="00E86277"/>
    <w:rsid w:val="00E868AF"/>
    <w:rsid w:val="00E86DB8"/>
    <w:rsid w:val="00E86F12"/>
    <w:rsid w:val="00E86F6C"/>
    <w:rsid w:val="00E871B9"/>
    <w:rsid w:val="00E8720D"/>
    <w:rsid w:val="00E876F7"/>
    <w:rsid w:val="00E90778"/>
    <w:rsid w:val="00E9098D"/>
    <w:rsid w:val="00E9111C"/>
    <w:rsid w:val="00E91B15"/>
    <w:rsid w:val="00E9209A"/>
    <w:rsid w:val="00E92D09"/>
    <w:rsid w:val="00E92E4E"/>
    <w:rsid w:val="00E932B8"/>
    <w:rsid w:val="00E93B17"/>
    <w:rsid w:val="00E93BBB"/>
    <w:rsid w:val="00E94A94"/>
    <w:rsid w:val="00E94B1C"/>
    <w:rsid w:val="00E94DFB"/>
    <w:rsid w:val="00E94F8D"/>
    <w:rsid w:val="00E9519B"/>
    <w:rsid w:val="00E959B9"/>
    <w:rsid w:val="00E95B13"/>
    <w:rsid w:val="00E96839"/>
    <w:rsid w:val="00E976EB"/>
    <w:rsid w:val="00E97AC6"/>
    <w:rsid w:val="00E97B4E"/>
    <w:rsid w:val="00EA0043"/>
    <w:rsid w:val="00EA0294"/>
    <w:rsid w:val="00EA0A11"/>
    <w:rsid w:val="00EA0F41"/>
    <w:rsid w:val="00EA13F6"/>
    <w:rsid w:val="00EA1AB7"/>
    <w:rsid w:val="00EA1D81"/>
    <w:rsid w:val="00EA1F4C"/>
    <w:rsid w:val="00EA23C6"/>
    <w:rsid w:val="00EA26F8"/>
    <w:rsid w:val="00EA292D"/>
    <w:rsid w:val="00EA2D1E"/>
    <w:rsid w:val="00EA303E"/>
    <w:rsid w:val="00EA3062"/>
    <w:rsid w:val="00EA31F5"/>
    <w:rsid w:val="00EA326B"/>
    <w:rsid w:val="00EA3951"/>
    <w:rsid w:val="00EA3E93"/>
    <w:rsid w:val="00EA46A5"/>
    <w:rsid w:val="00EA4C5F"/>
    <w:rsid w:val="00EA4ED8"/>
    <w:rsid w:val="00EA5487"/>
    <w:rsid w:val="00EA592F"/>
    <w:rsid w:val="00EA5EBD"/>
    <w:rsid w:val="00EA632F"/>
    <w:rsid w:val="00EA6631"/>
    <w:rsid w:val="00EA6847"/>
    <w:rsid w:val="00EA6A79"/>
    <w:rsid w:val="00EA6B3F"/>
    <w:rsid w:val="00EA6D93"/>
    <w:rsid w:val="00EA7762"/>
    <w:rsid w:val="00EB0279"/>
    <w:rsid w:val="00EB04BF"/>
    <w:rsid w:val="00EB09A6"/>
    <w:rsid w:val="00EB0AA0"/>
    <w:rsid w:val="00EB0BFB"/>
    <w:rsid w:val="00EB14F2"/>
    <w:rsid w:val="00EB1553"/>
    <w:rsid w:val="00EB1F83"/>
    <w:rsid w:val="00EB2349"/>
    <w:rsid w:val="00EB25D9"/>
    <w:rsid w:val="00EB2CD8"/>
    <w:rsid w:val="00EB2E77"/>
    <w:rsid w:val="00EB423A"/>
    <w:rsid w:val="00EB4473"/>
    <w:rsid w:val="00EB451F"/>
    <w:rsid w:val="00EB45D8"/>
    <w:rsid w:val="00EB4B11"/>
    <w:rsid w:val="00EB4CCE"/>
    <w:rsid w:val="00EB583B"/>
    <w:rsid w:val="00EB5EDB"/>
    <w:rsid w:val="00EB62B2"/>
    <w:rsid w:val="00EB68D0"/>
    <w:rsid w:val="00EB6BAF"/>
    <w:rsid w:val="00EB7424"/>
    <w:rsid w:val="00EB7649"/>
    <w:rsid w:val="00EC0228"/>
    <w:rsid w:val="00EC04D1"/>
    <w:rsid w:val="00EC05AB"/>
    <w:rsid w:val="00EC0C66"/>
    <w:rsid w:val="00EC1612"/>
    <w:rsid w:val="00EC1653"/>
    <w:rsid w:val="00EC1BDF"/>
    <w:rsid w:val="00EC1CF2"/>
    <w:rsid w:val="00EC2026"/>
    <w:rsid w:val="00EC21E5"/>
    <w:rsid w:val="00EC2685"/>
    <w:rsid w:val="00EC29FF"/>
    <w:rsid w:val="00EC33EE"/>
    <w:rsid w:val="00EC349C"/>
    <w:rsid w:val="00EC37AD"/>
    <w:rsid w:val="00EC3A38"/>
    <w:rsid w:val="00EC3BB0"/>
    <w:rsid w:val="00EC417A"/>
    <w:rsid w:val="00EC455C"/>
    <w:rsid w:val="00EC460C"/>
    <w:rsid w:val="00EC48FA"/>
    <w:rsid w:val="00EC5C1F"/>
    <w:rsid w:val="00EC5EE3"/>
    <w:rsid w:val="00EC6857"/>
    <w:rsid w:val="00EC687E"/>
    <w:rsid w:val="00EC7277"/>
    <w:rsid w:val="00EC7410"/>
    <w:rsid w:val="00EC7823"/>
    <w:rsid w:val="00EC786C"/>
    <w:rsid w:val="00ED032C"/>
    <w:rsid w:val="00ED048C"/>
    <w:rsid w:val="00ED0752"/>
    <w:rsid w:val="00ED08CD"/>
    <w:rsid w:val="00ED09CD"/>
    <w:rsid w:val="00ED0BF1"/>
    <w:rsid w:val="00ED1272"/>
    <w:rsid w:val="00ED1C35"/>
    <w:rsid w:val="00ED1C4E"/>
    <w:rsid w:val="00ED1FA9"/>
    <w:rsid w:val="00ED21F1"/>
    <w:rsid w:val="00ED2333"/>
    <w:rsid w:val="00ED2392"/>
    <w:rsid w:val="00ED2750"/>
    <w:rsid w:val="00ED305D"/>
    <w:rsid w:val="00ED3A27"/>
    <w:rsid w:val="00ED426E"/>
    <w:rsid w:val="00ED42A6"/>
    <w:rsid w:val="00ED4761"/>
    <w:rsid w:val="00ED483C"/>
    <w:rsid w:val="00ED4CDA"/>
    <w:rsid w:val="00ED4F8F"/>
    <w:rsid w:val="00ED5452"/>
    <w:rsid w:val="00ED5620"/>
    <w:rsid w:val="00ED5622"/>
    <w:rsid w:val="00ED584E"/>
    <w:rsid w:val="00ED5AD4"/>
    <w:rsid w:val="00ED5CF0"/>
    <w:rsid w:val="00ED6F36"/>
    <w:rsid w:val="00ED73D6"/>
    <w:rsid w:val="00ED73EA"/>
    <w:rsid w:val="00ED74E5"/>
    <w:rsid w:val="00ED7862"/>
    <w:rsid w:val="00EE019F"/>
    <w:rsid w:val="00EE04B8"/>
    <w:rsid w:val="00EE0DEC"/>
    <w:rsid w:val="00EE1168"/>
    <w:rsid w:val="00EE2587"/>
    <w:rsid w:val="00EE2F6D"/>
    <w:rsid w:val="00EE3BB0"/>
    <w:rsid w:val="00EE3E63"/>
    <w:rsid w:val="00EE3E74"/>
    <w:rsid w:val="00EE44AF"/>
    <w:rsid w:val="00EE4CB6"/>
    <w:rsid w:val="00EE4CD1"/>
    <w:rsid w:val="00EE574F"/>
    <w:rsid w:val="00EE58C6"/>
    <w:rsid w:val="00EE5D64"/>
    <w:rsid w:val="00EE6029"/>
    <w:rsid w:val="00EE66D6"/>
    <w:rsid w:val="00EE7565"/>
    <w:rsid w:val="00EE7C2E"/>
    <w:rsid w:val="00EF0231"/>
    <w:rsid w:val="00EF0935"/>
    <w:rsid w:val="00EF0C7E"/>
    <w:rsid w:val="00EF1131"/>
    <w:rsid w:val="00EF1252"/>
    <w:rsid w:val="00EF12FE"/>
    <w:rsid w:val="00EF13EF"/>
    <w:rsid w:val="00EF1522"/>
    <w:rsid w:val="00EF191C"/>
    <w:rsid w:val="00EF1F64"/>
    <w:rsid w:val="00EF20D4"/>
    <w:rsid w:val="00EF336B"/>
    <w:rsid w:val="00EF3C1D"/>
    <w:rsid w:val="00EF4142"/>
    <w:rsid w:val="00EF423C"/>
    <w:rsid w:val="00EF441B"/>
    <w:rsid w:val="00EF456F"/>
    <w:rsid w:val="00EF4EE7"/>
    <w:rsid w:val="00EF50CA"/>
    <w:rsid w:val="00EF5227"/>
    <w:rsid w:val="00EF5234"/>
    <w:rsid w:val="00EF5AA5"/>
    <w:rsid w:val="00EF6CB2"/>
    <w:rsid w:val="00EF6D02"/>
    <w:rsid w:val="00EF6D83"/>
    <w:rsid w:val="00EF732C"/>
    <w:rsid w:val="00EF74A1"/>
    <w:rsid w:val="00F002C2"/>
    <w:rsid w:val="00F00440"/>
    <w:rsid w:val="00F0054B"/>
    <w:rsid w:val="00F00BBA"/>
    <w:rsid w:val="00F010A1"/>
    <w:rsid w:val="00F01275"/>
    <w:rsid w:val="00F015EB"/>
    <w:rsid w:val="00F01CA2"/>
    <w:rsid w:val="00F01CD7"/>
    <w:rsid w:val="00F020A9"/>
    <w:rsid w:val="00F02566"/>
    <w:rsid w:val="00F02695"/>
    <w:rsid w:val="00F03698"/>
    <w:rsid w:val="00F0437F"/>
    <w:rsid w:val="00F04705"/>
    <w:rsid w:val="00F0478D"/>
    <w:rsid w:val="00F0599D"/>
    <w:rsid w:val="00F05B62"/>
    <w:rsid w:val="00F05B9E"/>
    <w:rsid w:val="00F06E83"/>
    <w:rsid w:val="00F073F5"/>
    <w:rsid w:val="00F074DB"/>
    <w:rsid w:val="00F075A4"/>
    <w:rsid w:val="00F07C10"/>
    <w:rsid w:val="00F1036A"/>
    <w:rsid w:val="00F104D7"/>
    <w:rsid w:val="00F1095B"/>
    <w:rsid w:val="00F10A82"/>
    <w:rsid w:val="00F10D82"/>
    <w:rsid w:val="00F11144"/>
    <w:rsid w:val="00F11E4A"/>
    <w:rsid w:val="00F125DE"/>
    <w:rsid w:val="00F12C69"/>
    <w:rsid w:val="00F12D92"/>
    <w:rsid w:val="00F12DD5"/>
    <w:rsid w:val="00F12E41"/>
    <w:rsid w:val="00F130C5"/>
    <w:rsid w:val="00F13788"/>
    <w:rsid w:val="00F13A3B"/>
    <w:rsid w:val="00F13D1B"/>
    <w:rsid w:val="00F14148"/>
    <w:rsid w:val="00F1487A"/>
    <w:rsid w:val="00F1545F"/>
    <w:rsid w:val="00F155C9"/>
    <w:rsid w:val="00F1574A"/>
    <w:rsid w:val="00F15DB8"/>
    <w:rsid w:val="00F15DEB"/>
    <w:rsid w:val="00F15E29"/>
    <w:rsid w:val="00F163B7"/>
    <w:rsid w:val="00F166CB"/>
    <w:rsid w:val="00F1783E"/>
    <w:rsid w:val="00F17CC0"/>
    <w:rsid w:val="00F2005B"/>
    <w:rsid w:val="00F20184"/>
    <w:rsid w:val="00F20B97"/>
    <w:rsid w:val="00F20EB9"/>
    <w:rsid w:val="00F211FC"/>
    <w:rsid w:val="00F21D2B"/>
    <w:rsid w:val="00F21E0B"/>
    <w:rsid w:val="00F21E5D"/>
    <w:rsid w:val="00F225CE"/>
    <w:rsid w:val="00F227C4"/>
    <w:rsid w:val="00F22BB5"/>
    <w:rsid w:val="00F232A1"/>
    <w:rsid w:val="00F237CA"/>
    <w:rsid w:val="00F23B07"/>
    <w:rsid w:val="00F23DE4"/>
    <w:rsid w:val="00F24125"/>
    <w:rsid w:val="00F241EA"/>
    <w:rsid w:val="00F2423B"/>
    <w:rsid w:val="00F243BB"/>
    <w:rsid w:val="00F24454"/>
    <w:rsid w:val="00F24884"/>
    <w:rsid w:val="00F24B5E"/>
    <w:rsid w:val="00F25033"/>
    <w:rsid w:val="00F253AD"/>
    <w:rsid w:val="00F2566F"/>
    <w:rsid w:val="00F25E7C"/>
    <w:rsid w:val="00F26140"/>
    <w:rsid w:val="00F26B12"/>
    <w:rsid w:val="00F26B44"/>
    <w:rsid w:val="00F27435"/>
    <w:rsid w:val="00F27ADC"/>
    <w:rsid w:val="00F301B1"/>
    <w:rsid w:val="00F30333"/>
    <w:rsid w:val="00F30725"/>
    <w:rsid w:val="00F3095B"/>
    <w:rsid w:val="00F312E9"/>
    <w:rsid w:val="00F313FD"/>
    <w:rsid w:val="00F31705"/>
    <w:rsid w:val="00F3214E"/>
    <w:rsid w:val="00F3257C"/>
    <w:rsid w:val="00F33624"/>
    <w:rsid w:val="00F339F9"/>
    <w:rsid w:val="00F33AB6"/>
    <w:rsid w:val="00F33C3C"/>
    <w:rsid w:val="00F33E0B"/>
    <w:rsid w:val="00F340EA"/>
    <w:rsid w:val="00F3553C"/>
    <w:rsid w:val="00F3599D"/>
    <w:rsid w:val="00F35A38"/>
    <w:rsid w:val="00F35AED"/>
    <w:rsid w:val="00F35BDD"/>
    <w:rsid w:val="00F3628C"/>
    <w:rsid w:val="00F36D14"/>
    <w:rsid w:val="00F37A2B"/>
    <w:rsid w:val="00F37DCD"/>
    <w:rsid w:val="00F37F03"/>
    <w:rsid w:val="00F401F0"/>
    <w:rsid w:val="00F40427"/>
    <w:rsid w:val="00F40936"/>
    <w:rsid w:val="00F40BC4"/>
    <w:rsid w:val="00F410E8"/>
    <w:rsid w:val="00F414C1"/>
    <w:rsid w:val="00F417DD"/>
    <w:rsid w:val="00F42723"/>
    <w:rsid w:val="00F42758"/>
    <w:rsid w:val="00F42863"/>
    <w:rsid w:val="00F43270"/>
    <w:rsid w:val="00F437CE"/>
    <w:rsid w:val="00F4386B"/>
    <w:rsid w:val="00F43BC0"/>
    <w:rsid w:val="00F43CE8"/>
    <w:rsid w:val="00F441C5"/>
    <w:rsid w:val="00F44D5C"/>
    <w:rsid w:val="00F453D5"/>
    <w:rsid w:val="00F45524"/>
    <w:rsid w:val="00F45561"/>
    <w:rsid w:val="00F45A5A"/>
    <w:rsid w:val="00F45B89"/>
    <w:rsid w:val="00F46784"/>
    <w:rsid w:val="00F46D32"/>
    <w:rsid w:val="00F46FDD"/>
    <w:rsid w:val="00F47DF3"/>
    <w:rsid w:val="00F47EA0"/>
    <w:rsid w:val="00F5061D"/>
    <w:rsid w:val="00F50635"/>
    <w:rsid w:val="00F50836"/>
    <w:rsid w:val="00F50CDC"/>
    <w:rsid w:val="00F50D9E"/>
    <w:rsid w:val="00F50EE7"/>
    <w:rsid w:val="00F5164F"/>
    <w:rsid w:val="00F5187F"/>
    <w:rsid w:val="00F51A4C"/>
    <w:rsid w:val="00F51BEF"/>
    <w:rsid w:val="00F51BFA"/>
    <w:rsid w:val="00F51ECD"/>
    <w:rsid w:val="00F51F9B"/>
    <w:rsid w:val="00F52496"/>
    <w:rsid w:val="00F5297A"/>
    <w:rsid w:val="00F5343D"/>
    <w:rsid w:val="00F53883"/>
    <w:rsid w:val="00F538D5"/>
    <w:rsid w:val="00F53A1B"/>
    <w:rsid w:val="00F542AE"/>
    <w:rsid w:val="00F546BC"/>
    <w:rsid w:val="00F55267"/>
    <w:rsid w:val="00F55621"/>
    <w:rsid w:val="00F55BF3"/>
    <w:rsid w:val="00F56411"/>
    <w:rsid w:val="00F57130"/>
    <w:rsid w:val="00F5751E"/>
    <w:rsid w:val="00F57879"/>
    <w:rsid w:val="00F6056E"/>
    <w:rsid w:val="00F60964"/>
    <w:rsid w:val="00F61264"/>
    <w:rsid w:val="00F61D25"/>
    <w:rsid w:val="00F61F22"/>
    <w:rsid w:val="00F62A94"/>
    <w:rsid w:val="00F637FF"/>
    <w:rsid w:val="00F64590"/>
    <w:rsid w:val="00F6498F"/>
    <w:rsid w:val="00F64ADA"/>
    <w:rsid w:val="00F66256"/>
    <w:rsid w:val="00F6691B"/>
    <w:rsid w:val="00F672ED"/>
    <w:rsid w:val="00F673FF"/>
    <w:rsid w:val="00F67FA3"/>
    <w:rsid w:val="00F7017F"/>
    <w:rsid w:val="00F70393"/>
    <w:rsid w:val="00F70915"/>
    <w:rsid w:val="00F70A10"/>
    <w:rsid w:val="00F71541"/>
    <w:rsid w:val="00F7180F"/>
    <w:rsid w:val="00F72709"/>
    <w:rsid w:val="00F727F9"/>
    <w:rsid w:val="00F72934"/>
    <w:rsid w:val="00F736F8"/>
    <w:rsid w:val="00F7387D"/>
    <w:rsid w:val="00F74112"/>
    <w:rsid w:val="00F741E3"/>
    <w:rsid w:val="00F745B3"/>
    <w:rsid w:val="00F749C3"/>
    <w:rsid w:val="00F74A34"/>
    <w:rsid w:val="00F74FA2"/>
    <w:rsid w:val="00F75F0C"/>
    <w:rsid w:val="00F7641F"/>
    <w:rsid w:val="00F76E99"/>
    <w:rsid w:val="00F7704E"/>
    <w:rsid w:val="00F772C9"/>
    <w:rsid w:val="00F77545"/>
    <w:rsid w:val="00F77763"/>
    <w:rsid w:val="00F77955"/>
    <w:rsid w:val="00F77AEB"/>
    <w:rsid w:val="00F77C99"/>
    <w:rsid w:val="00F77ED7"/>
    <w:rsid w:val="00F801BA"/>
    <w:rsid w:val="00F8035C"/>
    <w:rsid w:val="00F80AF3"/>
    <w:rsid w:val="00F81516"/>
    <w:rsid w:val="00F818BA"/>
    <w:rsid w:val="00F81996"/>
    <w:rsid w:val="00F82243"/>
    <w:rsid w:val="00F82511"/>
    <w:rsid w:val="00F8283A"/>
    <w:rsid w:val="00F82F33"/>
    <w:rsid w:val="00F8362F"/>
    <w:rsid w:val="00F83FC5"/>
    <w:rsid w:val="00F845C7"/>
    <w:rsid w:val="00F8464A"/>
    <w:rsid w:val="00F84C14"/>
    <w:rsid w:val="00F85C89"/>
    <w:rsid w:val="00F86194"/>
    <w:rsid w:val="00F8632E"/>
    <w:rsid w:val="00F869FC"/>
    <w:rsid w:val="00F86BDD"/>
    <w:rsid w:val="00F87768"/>
    <w:rsid w:val="00F879F0"/>
    <w:rsid w:val="00F87EC2"/>
    <w:rsid w:val="00F904B3"/>
    <w:rsid w:val="00F90545"/>
    <w:rsid w:val="00F905D3"/>
    <w:rsid w:val="00F9175E"/>
    <w:rsid w:val="00F926C5"/>
    <w:rsid w:val="00F928FE"/>
    <w:rsid w:val="00F929A1"/>
    <w:rsid w:val="00F92C00"/>
    <w:rsid w:val="00F92EDB"/>
    <w:rsid w:val="00F93409"/>
    <w:rsid w:val="00F93E95"/>
    <w:rsid w:val="00F9439B"/>
    <w:rsid w:val="00F9513F"/>
    <w:rsid w:val="00F95179"/>
    <w:rsid w:val="00F95232"/>
    <w:rsid w:val="00F957AF"/>
    <w:rsid w:val="00F9590C"/>
    <w:rsid w:val="00F95DE7"/>
    <w:rsid w:val="00F95FC1"/>
    <w:rsid w:val="00F96302"/>
    <w:rsid w:val="00F964AE"/>
    <w:rsid w:val="00F973EE"/>
    <w:rsid w:val="00F9783D"/>
    <w:rsid w:val="00F9799C"/>
    <w:rsid w:val="00F97C78"/>
    <w:rsid w:val="00FA0949"/>
    <w:rsid w:val="00FA09C8"/>
    <w:rsid w:val="00FA1FCD"/>
    <w:rsid w:val="00FA25EE"/>
    <w:rsid w:val="00FA2A84"/>
    <w:rsid w:val="00FA3BA0"/>
    <w:rsid w:val="00FA4479"/>
    <w:rsid w:val="00FA453A"/>
    <w:rsid w:val="00FA456E"/>
    <w:rsid w:val="00FA4A19"/>
    <w:rsid w:val="00FA4FA4"/>
    <w:rsid w:val="00FA59D8"/>
    <w:rsid w:val="00FA5AEE"/>
    <w:rsid w:val="00FA5F2E"/>
    <w:rsid w:val="00FA62EF"/>
    <w:rsid w:val="00FA63EC"/>
    <w:rsid w:val="00FA6685"/>
    <w:rsid w:val="00FA67CB"/>
    <w:rsid w:val="00FA6889"/>
    <w:rsid w:val="00FA6960"/>
    <w:rsid w:val="00FA6EE6"/>
    <w:rsid w:val="00FA732E"/>
    <w:rsid w:val="00FA7764"/>
    <w:rsid w:val="00FA7DF5"/>
    <w:rsid w:val="00FA7FC1"/>
    <w:rsid w:val="00FB0384"/>
    <w:rsid w:val="00FB04F8"/>
    <w:rsid w:val="00FB11CB"/>
    <w:rsid w:val="00FB2FA4"/>
    <w:rsid w:val="00FB32BF"/>
    <w:rsid w:val="00FB347B"/>
    <w:rsid w:val="00FB3F6E"/>
    <w:rsid w:val="00FB423B"/>
    <w:rsid w:val="00FB4A9E"/>
    <w:rsid w:val="00FB58DC"/>
    <w:rsid w:val="00FB5A9A"/>
    <w:rsid w:val="00FB5F93"/>
    <w:rsid w:val="00FB60D5"/>
    <w:rsid w:val="00FB65A1"/>
    <w:rsid w:val="00FB6FED"/>
    <w:rsid w:val="00FB7AC1"/>
    <w:rsid w:val="00FB7ECA"/>
    <w:rsid w:val="00FC15FA"/>
    <w:rsid w:val="00FC1736"/>
    <w:rsid w:val="00FC1AF4"/>
    <w:rsid w:val="00FC23D1"/>
    <w:rsid w:val="00FC2792"/>
    <w:rsid w:val="00FC2872"/>
    <w:rsid w:val="00FC2F7D"/>
    <w:rsid w:val="00FC31A7"/>
    <w:rsid w:val="00FC38B8"/>
    <w:rsid w:val="00FC4015"/>
    <w:rsid w:val="00FC495F"/>
    <w:rsid w:val="00FC51E2"/>
    <w:rsid w:val="00FC5D41"/>
    <w:rsid w:val="00FC5F4B"/>
    <w:rsid w:val="00FC62C9"/>
    <w:rsid w:val="00FC6611"/>
    <w:rsid w:val="00FC678A"/>
    <w:rsid w:val="00FC7334"/>
    <w:rsid w:val="00FC780F"/>
    <w:rsid w:val="00FC7C6C"/>
    <w:rsid w:val="00FD085E"/>
    <w:rsid w:val="00FD0CE3"/>
    <w:rsid w:val="00FD0E4B"/>
    <w:rsid w:val="00FD1667"/>
    <w:rsid w:val="00FD2614"/>
    <w:rsid w:val="00FD2B76"/>
    <w:rsid w:val="00FD2D4A"/>
    <w:rsid w:val="00FD31BC"/>
    <w:rsid w:val="00FD3546"/>
    <w:rsid w:val="00FD3662"/>
    <w:rsid w:val="00FD396A"/>
    <w:rsid w:val="00FD4116"/>
    <w:rsid w:val="00FD4191"/>
    <w:rsid w:val="00FD43ED"/>
    <w:rsid w:val="00FD4A10"/>
    <w:rsid w:val="00FD52AB"/>
    <w:rsid w:val="00FD5D6C"/>
    <w:rsid w:val="00FD5DB7"/>
    <w:rsid w:val="00FD7AFC"/>
    <w:rsid w:val="00FD7CA8"/>
    <w:rsid w:val="00FD7CB4"/>
    <w:rsid w:val="00FD7F6E"/>
    <w:rsid w:val="00FE0023"/>
    <w:rsid w:val="00FE0597"/>
    <w:rsid w:val="00FE06DC"/>
    <w:rsid w:val="00FE0D74"/>
    <w:rsid w:val="00FE0F64"/>
    <w:rsid w:val="00FE21F8"/>
    <w:rsid w:val="00FE221F"/>
    <w:rsid w:val="00FE31B5"/>
    <w:rsid w:val="00FE35FC"/>
    <w:rsid w:val="00FE379A"/>
    <w:rsid w:val="00FE39D1"/>
    <w:rsid w:val="00FE3A17"/>
    <w:rsid w:val="00FE3D27"/>
    <w:rsid w:val="00FE47C6"/>
    <w:rsid w:val="00FE4F11"/>
    <w:rsid w:val="00FE50F2"/>
    <w:rsid w:val="00FE53B1"/>
    <w:rsid w:val="00FE5438"/>
    <w:rsid w:val="00FE59C5"/>
    <w:rsid w:val="00FE601B"/>
    <w:rsid w:val="00FE6050"/>
    <w:rsid w:val="00FE65DB"/>
    <w:rsid w:val="00FE6653"/>
    <w:rsid w:val="00FE6F70"/>
    <w:rsid w:val="00FE71B0"/>
    <w:rsid w:val="00FE7C0B"/>
    <w:rsid w:val="00FE7FAA"/>
    <w:rsid w:val="00FF03A5"/>
    <w:rsid w:val="00FF03B1"/>
    <w:rsid w:val="00FF0B78"/>
    <w:rsid w:val="00FF0E52"/>
    <w:rsid w:val="00FF15C6"/>
    <w:rsid w:val="00FF1A52"/>
    <w:rsid w:val="00FF1D98"/>
    <w:rsid w:val="00FF1E47"/>
    <w:rsid w:val="00FF29ED"/>
    <w:rsid w:val="00FF2B14"/>
    <w:rsid w:val="00FF2FD0"/>
    <w:rsid w:val="00FF3BC2"/>
    <w:rsid w:val="00FF4060"/>
    <w:rsid w:val="00FF4988"/>
    <w:rsid w:val="00FF49D9"/>
    <w:rsid w:val="00FF5287"/>
    <w:rsid w:val="00FF56B7"/>
    <w:rsid w:val="00FF64EC"/>
    <w:rsid w:val="00FF6DEE"/>
    <w:rsid w:val="00FF7961"/>
    <w:rsid w:val="0130C797"/>
    <w:rsid w:val="013A77BD"/>
    <w:rsid w:val="01434F99"/>
    <w:rsid w:val="0157536D"/>
    <w:rsid w:val="0174CE3C"/>
    <w:rsid w:val="017F08BA"/>
    <w:rsid w:val="0180E5EF"/>
    <w:rsid w:val="01849898"/>
    <w:rsid w:val="018F44A6"/>
    <w:rsid w:val="01939EC6"/>
    <w:rsid w:val="01BFAFA8"/>
    <w:rsid w:val="01F234E5"/>
    <w:rsid w:val="01F9227C"/>
    <w:rsid w:val="020D86C6"/>
    <w:rsid w:val="021A8C85"/>
    <w:rsid w:val="0221408C"/>
    <w:rsid w:val="023B1574"/>
    <w:rsid w:val="0242F7BC"/>
    <w:rsid w:val="027B01A5"/>
    <w:rsid w:val="0288F805"/>
    <w:rsid w:val="029037F5"/>
    <w:rsid w:val="02B885C2"/>
    <w:rsid w:val="02B9F209"/>
    <w:rsid w:val="02CBA4BE"/>
    <w:rsid w:val="02F5EBB6"/>
    <w:rsid w:val="02FF5BDD"/>
    <w:rsid w:val="03005E52"/>
    <w:rsid w:val="0337F123"/>
    <w:rsid w:val="0358EC2D"/>
    <w:rsid w:val="03635A95"/>
    <w:rsid w:val="0365E388"/>
    <w:rsid w:val="037E44A3"/>
    <w:rsid w:val="03CBADF5"/>
    <w:rsid w:val="03ED7467"/>
    <w:rsid w:val="041A874A"/>
    <w:rsid w:val="04492B89"/>
    <w:rsid w:val="046831C4"/>
    <w:rsid w:val="046A0E0A"/>
    <w:rsid w:val="047F44CA"/>
    <w:rsid w:val="048AE544"/>
    <w:rsid w:val="048FE63F"/>
    <w:rsid w:val="04995F5D"/>
    <w:rsid w:val="049A723B"/>
    <w:rsid w:val="04AB09F7"/>
    <w:rsid w:val="04AB1710"/>
    <w:rsid w:val="04BA77EF"/>
    <w:rsid w:val="04E78925"/>
    <w:rsid w:val="04FCC282"/>
    <w:rsid w:val="05021AFE"/>
    <w:rsid w:val="05208685"/>
    <w:rsid w:val="054C0ED9"/>
    <w:rsid w:val="05504E60"/>
    <w:rsid w:val="0551C34A"/>
    <w:rsid w:val="0563A790"/>
    <w:rsid w:val="057F4541"/>
    <w:rsid w:val="058B7599"/>
    <w:rsid w:val="05B7840F"/>
    <w:rsid w:val="05CCBBEF"/>
    <w:rsid w:val="05D678A1"/>
    <w:rsid w:val="05EA55B7"/>
    <w:rsid w:val="06183A16"/>
    <w:rsid w:val="062C6D19"/>
    <w:rsid w:val="063285C0"/>
    <w:rsid w:val="065064BD"/>
    <w:rsid w:val="0660EA22"/>
    <w:rsid w:val="06651CC1"/>
    <w:rsid w:val="06A30FDB"/>
    <w:rsid w:val="06A86504"/>
    <w:rsid w:val="06CE08F2"/>
    <w:rsid w:val="06DA7B8B"/>
    <w:rsid w:val="06E8EF1E"/>
    <w:rsid w:val="0727CF5C"/>
    <w:rsid w:val="0749BEC0"/>
    <w:rsid w:val="075097DC"/>
    <w:rsid w:val="0776098B"/>
    <w:rsid w:val="078484A0"/>
    <w:rsid w:val="07A1AC98"/>
    <w:rsid w:val="07B1CFBE"/>
    <w:rsid w:val="07B76DBB"/>
    <w:rsid w:val="07E1D91E"/>
    <w:rsid w:val="081ED9F2"/>
    <w:rsid w:val="083D6E3A"/>
    <w:rsid w:val="08649C09"/>
    <w:rsid w:val="0869BBF5"/>
    <w:rsid w:val="08A00D5C"/>
    <w:rsid w:val="08B050E6"/>
    <w:rsid w:val="08B0A18F"/>
    <w:rsid w:val="08E593B2"/>
    <w:rsid w:val="08E9BF43"/>
    <w:rsid w:val="08F3E7B4"/>
    <w:rsid w:val="090E77D0"/>
    <w:rsid w:val="090ECCC6"/>
    <w:rsid w:val="094ACE83"/>
    <w:rsid w:val="0953AABE"/>
    <w:rsid w:val="095E36EE"/>
    <w:rsid w:val="098BC8CF"/>
    <w:rsid w:val="099AA431"/>
    <w:rsid w:val="09AC7406"/>
    <w:rsid w:val="09BA9F3E"/>
    <w:rsid w:val="09DA5456"/>
    <w:rsid w:val="09EE325D"/>
    <w:rsid w:val="09F30087"/>
    <w:rsid w:val="0A0B1A98"/>
    <w:rsid w:val="0A57ED4C"/>
    <w:rsid w:val="0A5D668B"/>
    <w:rsid w:val="0A830AB7"/>
    <w:rsid w:val="0A9742B0"/>
    <w:rsid w:val="0ABE5694"/>
    <w:rsid w:val="0AC1F7A1"/>
    <w:rsid w:val="0ADF3448"/>
    <w:rsid w:val="0B4E4DF2"/>
    <w:rsid w:val="0B536017"/>
    <w:rsid w:val="0B5B6ABD"/>
    <w:rsid w:val="0B60035F"/>
    <w:rsid w:val="0B7AAC60"/>
    <w:rsid w:val="0B7CB919"/>
    <w:rsid w:val="0B7E6795"/>
    <w:rsid w:val="0BB4B5A1"/>
    <w:rsid w:val="0BDB0285"/>
    <w:rsid w:val="0BEE8896"/>
    <w:rsid w:val="0BFB373E"/>
    <w:rsid w:val="0BFF3E5D"/>
    <w:rsid w:val="0C007ACD"/>
    <w:rsid w:val="0C19E710"/>
    <w:rsid w:val="0C248BCB"/>
    <w:rsid w:val="0C33B6E0"/>
    <w:rsid w:val="0C5F85A6"/>
    <w:rsid w:val="0C74ED3B"/>
    <w:rsid w:val="0C7509FF"/>
    <w:rsid w:val="0C95250A"/>
    <w:rsid w:val="0CA461BF"/>
    <w:rsid w:val="0CAC39C7"/>
    <w:rsid w:val="0CD0F5A0"/>
    <w:rsid w:val="0CD4154B"/>
    <w:rsid w:val="0CF0FEB8"/>
    <w:rsid w:val="0CFDB4AD"/>
    <w:rsid w:val="0D27FE2C"/>
    <w:rsid w:val="0D2FC43D"/>
    <w:rsid w:val="0D96690D"/>
    <w:rsid w:val="0D99BDA5"/>
    <w:rsid w:val="0DB5E966"/>
    <w:rsid w:val="0DCBF48B"/>
    <w:rsid w:val="0E2B3C98"/>
    <w:rsid w:val="0E2C213D"/>
    <w:rsid w:val="0E55DC81"/>
    <w:rsid w:val="0E97297D"/>
    <w:rsid w:val="0EA47872"/>
    <w:rsid w:val="0EDD4B8E"/>
    <w:rsid w:val="0EF8DEE4"/>
    <w:rsid w:val="0EFA26FE"/>
    <w:rsid w:val="0F2DD93E"/>
    <w:rsid w:val="0F5CBCB5"/>
    <w:rsid w:val="0F5FB3AF"/>
    <w:rsid w:val="0F664A28"/>
    <w:rsid w:val="0F6A0F54"/>
    <w:rsid w:val="0F7336CE"/>
    <w:rsid w:val="0F7A3B75"/>
    <w:rsid w:val="0FAB7776"/>
    <w:rsid w:val="0FDB5DB9"/>
    <w:rsid w:val="0FF99B62"/>
    <w:rsid w:val="0FFC2AAD"/>
    <w:rsid w:val="100B2A18"/>
    <w:rsid w:val="101C5CA4"/>
    <w:rsid w:val="1033B9D9"/>
    <w:rsid w:val="103C6E6D"/>
    <w:rsid w:val="10400934"/>
    <w:rsid w:val="1090542B"/>
    <w:rsid w:val="10AE8FED"/>
    <w:rsid w:val="10B2D34D"/>
    <w:rsid w:val="10C18EAF"/>
    <w:rsid w:val="11171C07"/>
    <w:rsid w:val="111DACDD"/>
    <w:rsid w:val="11250ACB"/>
    <w:rsid w:val="11647020"/>
    <w:rsid w:val="1169931B"/>
    <w:rsid w:val="1185D361"/>
    <w:rsid w:val="11889F99"/>
    <w:rsid w:val="11A15C16"/>
    <w:rsid w:val="11ABD866"/>
    <w:rsid w:val="11B06C78"/>
    <w:rsid w:val="11B1856E"/>
    <w:rsid w:val="11BCF3B4"/>
    <w:rsid w:val="11FBF57C"/>
    <w:rsid w:val="11FCE928"/>
    <w:rsid w:val="120158FE"/>
    <w:rsid w:val="1215DF32"/>
    <w:rsid w:val="122DAC4F"/>
    <w:rsid w:val="12663C3F"/>
    <w:rsid w:val="12890219"/>
    <w:rsid w:val="12891F92"/>
    <w:rsid w:val="12A5253E"/>
    <w:rsid w:val="12AD94BE"/>
    <w:rsid w:val="12BAB2DB"/>
    <w:rsid w:val="12BC4775"/>
    <w:rsid w:val="12C3E9D3"/>
    <w:rsid w:val="12E8C8D2"/>
    <w:rsid w:val="12FD0CCA"/>
    <w:rsid w:val="1327CCF6"/>
    <w:rsid w:val="1327F02B"/>
    <w:rsid w:val="133216C8"/>
    <w:rsid w:val="13371C51"/>
    <w:rsid w:val="1338BE66"/>
    <w:rsid w:val="1349596B"/>
    <w:rsid w:val="1351B97C"/>
    <w:rsid w:val="1358252B"/>
    <w:rsid w:val="1371B37C"/>
    <w:rsid w:val="1377A95F"/>
    <w:rsid w:val="1385EAFB"/>
    <w:rsid w:val="13884BF5"/>
    <w:rsid w:val="138E71E7"/>
    <w:rsid w:val="139A3AE9"/>
    <w:rsid w:val="13A57518"/>
    <w:rsid w:val="13AD16B4"/>
    <w:rsid w:val="13C0BE32"/>
    <w:rsid w:val="13D02F1E"/>
    <w:rsid w:val="13D24F7F"/>
    <w:rsid w:val="13DB9E5E"/>
    <w:rsid w:val="13E5108C"/>
    <w:rsid w:val="13EC1AFC"/>
    <w:rsid w:val="1414957F"/>
    <w:rsid w:val="14314A09"/>
    <w:rsid w:val="148A15F0"/>
    <w:rsid w:val="14CAAF7C"/>
    <w:rsid w:val="14D154BC"/>
    <w:rsid w:val="14E6A82B"/>
    <w:rsid w:val="14E6B322"/>
    <w:rsid w:val="14F2CF4A"/>
    <w:rsid w:val="14FDE368"/>
    <w:rsid w:val="1502A612"/>
    <w:rsid w:val="151F1E48"/>
    <w:rsid w:val="1520BA93"/>
    <w:rsid w:val="155FAAD6"/>
    <w:rsid w:val="15757FF3"/>
    <w:rsid w:val="158044C0"/>
    <w:rsid w:val="159044A2"/>
    <w:rsid w:val="15AA96A7"/>
    <w:rsid w:val="15D91FFF"/>
    <w:rsid w:val="1620AAA7"/>
    <w:rsid w:val="165E07B0"/>
    <w:rsid w:val="166421D7"/>
    <w:rsid w:val="166E40FC"/>
    <w:rsid w:val="1672D7CE"/>
    <w:rsid w:val="168B7D8C"/>
    <w:rsid w:val="16910831"/>
    <w:rsid w:val="16ADCC6D"/>
    <w:rsid w:val="16B8DA6F"/>
    <w:rsid w:val="16BB7726"/>
    <w:rsid w:val="16F7950F"/>
    <w:rsid w:val="17066B2D"/>
    <w:rsid w:val="1727C561"/>
    <w:rsid w:val="1730A50D"/>
    <w:rsid w:val="1736FB72"/>
    <w:rsid w:val="1738E48A"/>
    <w:rsid w:val="173C18DB"/>
    <w:rsid w:val="175A977E"/>
    <w:rsid w:val="176BA543"/>
    <w:rsid w:val="176F57B6"/>
    <w:rsid w:val="17A3885B"/>
    <w:rsid w:val="17A4A0E7"/>
    <w:rsid w:val="17BA59E7"/>
    <w:rsid w:val="17E7C499"/>
    <w:rsid w:val="1819106F"/>
    <w:rsid w:val="18295DBF"/>
    <w:rsid w:val="182CF882"/>
    <w:rsid w:val="184B5174"/>
    <w:rsid w:val="18521D1F"/>
    <w:rsid w:val="186E8005"/>
    <w:rsid w:val="1876E74B"/>
    <w:rsid w:val="1883A906"/>
    <w:rsid w:val="189FEAAB"/>
    <w:rsid w:val="18D2577C"/>
    <w:rsid w:val="18D79408"/>
    <w:rsid w:val="18DBF551"/>
    <w:rsid w:val="18DCD504"/>
    <w:rsid w:val="18F98F91"/>
    <w:rsid w:val="18FCAA4E"/>
    <w:rsid w:val="190D02A4"/>
    <w:rsid w:val="1917665B"/>
    <w:rsid w:val="1918055C"/>
    <w:rsid w:val="191C2BF4"/>
    <w:rsid w:val="1950BF24"/>
    <w:rsid w:val="196A28C5"/>
    <w:rsid w:val="197C07EF"/>
    <w:rsid w:val="198B0A0A"/>
    <w:rsid w:val="198E2F28"/>
    <w:rsid w:val="19AD7861"/>
    <w:rsid w:val="19AEEE2A"/>
    <w:rsid w:val="19D314B3"/>
    <w:rsid w:val="19F3EAB6"/>
    <w:rsid w:val="19FE5AB9"/>
    <w:rsid w:val="1B008302"/>
    <w:rsid w:val="1B1800AC"/>
    <w:rsid w:val="1B180F25"/>
    <w:rsid w:val="1B2C3644"/>
    <w:rsid w:val="1B3EE6A4"/>
    <w:rsid w:val="1B54B4D9"/>
    <w:rsid w:val="1B59E7CA"/>
    <w:rsid w:val="1B6557F8"/>
    <w:rsid w:val="1B893D0E"/>
    <w:rsid w:val="1BA78DA1"/>
    <w:rsid w:val="1BB45E0E"/>
    <w:rsid w:val="1BCF5CA2"/>
    <w:rsid w:val="1BD668AA"/>
    <w:rsid w:val="1BF057C5"/>
    <w:rsid w:val="1C4107CF"/>
    <w:rsid w:val="1C489777"/>
    <w:rsid w:val="1C61EA61"/>
    <w:rsid w:val="1C8AA5BE"/>
    <w:rsid w:val="1CA0215D"/>
    <w:rsid w:val="1CADE465"/>
    <w:rsid w:val="1CB44BDB"/>
    <w:rsid w:val="1CC0C4DA"/>
    <w:rsid w:val="1CC56BEF"/>
    <w:rsid w:val="1D0F628E"/>
    <w:rsid w:val="1D14470A"/>
    <w:rsid w:val="1D5E7B5E"/>
    <w:rsid w:val="1D62F479"/>
    <w:rsid w:val="1DAA5456"/>
    <w:rsid w:val="1DAEC5E5"/>
    <w:rsid w:val="1DC9A8F9"/>
    <w:rsid w:val="1DF1575E"/>
    <w:rsid w:val="1E00CACD"/>
    <w:rsid w:val="1E1B266A"/>
    <w:rsid w:val="1E393116"/>
    <w:rsid w:val="1E3A6525"/>
    <w:rsid w:val="1E407018"/>
    <w:rsid w:val="1E55E94B"/>
    <w:rsid w:val="1E6CE8E9"/>
    <w:rsid w:val="1EA6FD9E"/>
    <w:rsid w:val="1EB62751"/>
    <w:rsid w:val="1EC63A13"/>
    <w:rsid w:val="1EDD957F"/>
    <w:rsid w:val="1EE1DFF6"/>
    <w:rsid w:val="1EE20823"/>
    <w:rsid w:val="1EFA87CB"/>
    <w:rsid w:val="1EFE57D2"/>
    <w:rsid w:val="1F014F51"/>
    <w:rsid w:val="1F1D8234"/>
    <w:rsid w:val="1F21C72E"/>
    <w:rsid w:val="1F2D8C6F"/>
    <w:rsid w:val="1F41ABFA"/>
    <w:rsid w:val="1F716C0D"/>
    <w:rsid w:val="1F807D18"/>
    <w:rsid w:val="1F84C265"/>
    <w:rsid w:val="1F9C7837"/>
    <w:rsid w:val="1F9D224A"/>
    <w:rsid w:val="1FA91468"/>
    <w:rsid w:val="1FCAEDD2"/>
    <w:rsid w:val="1FD88F19"/>
    <w:rsid w:val="1FDF76F9"/>
    <w:rsid w:val="1FEF0EF8"/>
    <w:rsid w:val="1FFD5156"/>
    <w:rsid w:val="200476A3"/>
    <w:rsid w:val="2011D251"/>
    <w:rsid w:val="20215F58"/>
    <w:rsid w:val="203FBBF7"/>
    <w:rsid w:val="20422438"/>
    <w:rsid w:val="205D2542"/>
    <w:rsid w:val="20674D56"/>
    <w:rsid w:val="206C8396"/>
    <w:rsid w:val="208379EE"/>
    <w:rsid w:val="2093DD60"/>
    <w:rsid w:val="209B208F"/>
    <w:rsid w:val="20CBD9EA"/>
    <w:rsid w:val="2104D806"/>
    <w:rsid w:val="210DECAE"/>
    <w:rsid w:val="210E13B0"/>
    <w:rsid w:val="2113E2D8"/>
    <w:rsid w:val="212B3675"/>
    <w:rsid w:val="214EB23C"/>
    <w:rsid w:val="2162ECB3"/>
    <w:rsid w:val="218E4976"/>
    <w:rsid w:val="21C4790E"/>
    <w:rsid w:val="21C47E87"/>
    <w:rsid w:val="21CC1DAB"/>
    <w:rsid w:val="21EA29B2"/>
    <w:rsid w:val="21EB660D"/>
    <w:rsid w:val="21EFB02C"/>
    <w:rsid w:val="21F17071"/>
    <w:rsid w:val="21F63F34"/>
    <w:rsid w:val="21F74943"/>
    <w:rsid w:val="221D7D06"/>
    <w:rsid w:val="22220C8A"/>
    <w:rsid w:val="2287E961"/>
    <w:rsid w:val="22A609C9"/>
    <w:rsid w:val="22AC7FB2"/>
    <w:rsid w:val="22B28D57"/>
    <w:rsid w:val="22D3849D"/>
    <w:rsid w:val="22E424B3"/>
    <w:rsid w:val="22F58475"/>
    <w:rsid w:val="2312CFB0"/>
    <w:rsid w:val="23143795"/>
    <w:rsid w:val="231DDA59"/>
    <w:rsid w:val="233013F6"/>
    <w:rsid w:val="233EF140"/>
    <w:rsid w:val="235F0551"/>
    <w:rsid w:val="2364BD79"/>
    <w:rsid w:val="237BD4B1"/>
    <w:rsid w:val="237BFAB1"/>
    <w:rsid w:val="23B9741A"/>
    <w:rsid w:val="23CC720E"/>
    <w:rsid w:val="240D6577"/>
    <w:rsid w:val="24130B70"/>
    <w:rsid w:val="243303F8"/>
    <w:rsid w:val="24639CDD"/>
    <w:rsid w:val="24865490"/>
    <w:rsid w:val="248CC98E"/>
    <w:rsid w:val="24C7BA69"/>
    <w:rsid w:val="24FC8D0C"/>
    <w:rsid w:val="250AFA9A"/>
    <w:rsid w:val="2522B6C7"/>
    <w:rsid w:val="25394D01"/>
    <w:rsid w:val="253A098B"/>
    <w:rsid w:val="254D1FF6"/>
    <w:rsid w:val="256BFBBF"/>
    <w:rsid w:val="259187F5"/>
    <w:rsid w:val="259281E6"/>
    <w:rsid w:val="259B9D53"/>
    <w:rsid w:val="259DA29A"/>
    <w:rsid w:val="25A298A2"/>
    <w:rsid w:val="25C51939"/>
    <w:rsid w:val="25C63E5D"/>
    <w:rsid w:val="25CF0E5F"/>
    <w:rsid w:val="25D8C64A"/>
    <w:rsid w:val="25D9C76A"/>
    <w:rsid w:val="25DFF80A"/>
    <w:rsid w:val="25EC200D"/>
    <w:rsid w:val="25ED8ED9"/>
    <w:rsid w:val="25FD5773"/>
    <w:rsid w:val="265E554F"/>
    <w:rsid w:val="266EF757"/>
    <w:rsid w:val="26773035"/>
    <w:rsid w:val="267D7BB7"/>
    <w:rsid w:val="268AAAF5"/>
    <w:rsid w:val="2690591B"/>
    <w:rsid w:val="2693DCB4"/>
    <w:rsid w:val="26B83273"/>
    <w:rsid w:val="26FD6EAC"/>
    <w:rsid w:val="27282FE3"/>
    <w:rsid w:val="2733EEB2"/>
    <w:rsid w:val="273CAAC1"/>
    <w:rsid w:val="2745C6EC"/>
    <w:rsid w:val="275F763E"/>
    <w:rsid w:val="27C5DD11"/>
    <w:rsid w:val="27CE9C04"/>
    <w:rsid w:val="27EDC139"/>
    <w:rsid w:val="281A003E"/>
    <w:rsid w:val="282CA374"/>
    <w:rsid w:val="283EF29E"/>
    <w:rsid w:val="28469858"/>
    <w:rsid w:val="28692F63"/>
    <w:rsid w:val="286CFEAB"/>
    <w:rsid w:val="28773F7C"/>
    <w:rsid w:val="287BCF67"/>
    <w:rsid w:val="28A2C1E1"/>
    <w:rsid w:val="28CF6F5D"/>
    <w:rsid w:val="28F7E9D9"/>
    <w:rsid w:val="291DE26C"/>
    <w:rsid w:val="2927FC33"/>
    <w:rsid w:val="29427DEA"/>
    <w:rsid w:val="2948784C"/>
    <w:rsid w:val="2951C4C8"/>
    <w:rsid w:val="296B7FBA"/>
    <w:rsid w:val="2970593E"/>
    <w:rsid w:val="298D3098"/>
    <w:rsid w:val="299B3E46"/>
    <w:rsid w:val="29B50AFC"/>
    <w:rsid w:val="29B65E6C"/>
    <w:rsid w:val="29C47942"/>
    <w:rsid w:val="29C74C99"/>
    <w:rsid w:val="29CF93CA"/>
    <w:rsid w:val="29D48DB8"/>
    <w:rsid w:val="29E0E1BE"/>
    <w:rsid w:val="29E3C3DB"/>
    <w:rsid w:val="29FFDBE4"/>
    <w:rsid w:val="2A3F20E5"/>
    <w:rsid w:val="2A7992EF"/>
    <w:rsid w:val="2AAA7888"/>
    <w:rsid w:val="2AAE1BD7"/>
    <w:rsid w:val="2AB91D23"/>
    <w:rsid w:val="2ABF8E98"/>
    <w:rsid w:val="2AC33063"/>
    <w:rsid w:val="2ACF9677"/>
    <w:rsid w:val="2ADF459A"/>
    <w:rsid w:val="2AE92D61"/>
    <w:rsid w:val="2AEAC52A"/>
    <w:rsid w:val="2B10507D"/>
    <w:rsid w:val="2B18F29D"/>
    <w:rsid w:val="2B269554"/>
    <w:rsid w:val="2B44E75C"/>
    <w:rsid w:val="2B4DEF5B"/>
    <w:rsid w:val="2B4E3D21"/>
    <w:rsid w:val="2B5268AA"/>
    <w:rsid w:val="2B5641AF"/>
    <w:rsid w:val="2B5C4458"/>
    <w:rsid w:val="2BC0E1DC"/>
    <w:rsid w:val="2BD057AD"/>
    <w:rsid w:val="2BF19FBE"/>
    <w:rsid w:val="2BF8D5BB"/>
    <w:rsid w:val="2BF936FA"/>
    <w:rsid w:val="2C1C5A9D"/>
    <w:rsid w:val="2C281E9C"/>
    <w:rsid w:val="2C29A085"/>
    <w:rsid w:val="2C2E0DC7"/>
    <w:rsid w:val="2C2EAFA2"/>
    <w:rsid w:val="2C4F64F4"/>
    <w:rsid w:val="2C6B1A70"/>
    <w:rsid w:val="2C701EEA"/>
    <w:rsid w:val="2C7B051D"/>
    <w:rsid w:val="2C8BADBF"/>
    <w:rsid w:val="2C9B016D"/>
    <w:rsid w:val="2CA69E0F"/>
    <w:rsid w:val="2CB4BC00"/>
    <w:rsid w:val="2CC7779D"/>
    <w:rsid w:val="2CC85C73"/>
    <w:rsid w:val="2CD2FE45"/>
    <w:rsid w:val="2CD616C3"/>
    <w:rsid w:val="2CDC82BC"/>
    <w:rsid w:val="2D01EC0E"/>
    <w:rsid w:val="2D1EC90E"/>
    <w:rsid w:val="2D30450E"/>
    <w:rsid w:val="2D333748"/>
    <w:rsid w:val="2D364828"/>
    <w:rsid w:val="2D38C4C7"/>
    <w:rsid w:val="2D3B9D3E"/>
    <w:rsid w:val="2D5B6C3D"/>
    <w:rsid w:val="2D7E3AE6"/>
    <w:rsid w:val="2D8734EF"/>
    <w:rsid w:val="2D9521E7"/>
    <w:rsid w:val="2DDE5283"/>
    <w:rsid w:val="2DF67147"/>
    <w:rsid w:val="2E2EAF72"/>
    <w:rsid w:val="2E67E581"/>
    <w:rsid w:val="2E6B6BCA"/>
    <w:rsid w:val="2EB22ABC"/>
    <w:rsid w:val="2EB4262F"/>
    <w:rsid w:val="2ECE1B1B"/>
    <w:rsid w:val="2EECF87F"/>
    <w:rsid w:val="2EF1DEF7"/>
    <w:rsid w:val="2F11DF13"/>
    <w:rsid w:val="2F2C6DF8"/>
    <w:rsid w:val="2F3073A2"/>
    <w:rsid w:val="2F45269C"/>
    <w:rsid w:val="2F52CC4C"/>
    <w:rsid w:val="2F6E8ED0"/>
    <w:rsid w:val="2F70D891"/>
    <w:rsid w:val="2F7AFD42"/>
    <w:rsid w:val="2F97F03B"/>
    <w:rsid w:val="2FC03A36"/>
    <w:rsid w:val="2FD609AA"/>
    <w:rsid w:val="2FE156AE"/>
    <w:rsid w:val="2FEC824A"/>
    <w:rsid w:val="2FEF8A16"/>
    <w:rsid w:val="3017D8FD"/>
    <w:rsid w:val="30225DD5"/>
    <w:rsid w:val="3047080D"/>
    <w:rsid w:val="3048A1C0"/>
    <w:rsid w:val="304DD039"/>
    <w:rsid w:val="30617622"/>
    <w:rsid w:val="3068647D"/>
    <w:rsid w:val="30869D7F"/>
    <w:rsid w:val="30950918"/>
    <w:rsid w:val="309C406F"/>
    <w:rsid w:val="30A590CD"/>
    <w:rsid w:val="30B06B5E"/>
    <w:rsid w:val="30C19497"/>
    <w:rsid w:val="30CD9F29"/>
    <w:rsid w:val="30CF235B"/>
    <w:rsid w:val="30DC9DBE"/>
    <w:rsid w:val="30E7264D"/>
    <w:rsid w:val="30F305F3"/>
    <w:rsid w:val="3136B796"/>
    <w:rsid w:val="3142C2D0"/>
    <w:rsid w:val="31586CBB"/>
    <w:rsid w:val="31889D01"/>
    <w:rsid w:val="318A4035"/>
    <w:rsid w:val="3197083C"/>
    <w:rsid w:val="31A7DCB5"/>
    <w:rsid w:val="31BA5C6A"/>
    <w:rsid w:val="31C0FB7D"/>
    <w:rsid w:val="31E28644"/>
    <w:rsid w:val="31F48F54"/>
    <w:rsid w:val="3203AD58"/>
    <w:rsid w:val="3213AA7D"/>
    <w:rsid w:val="3230F9F4"/>
    <w:rsid w:val="323414AB"/>
    <w:rsid w:val="3253E452"/>
    <w:rsid w:val="3256FE5E"/>
    <w:rsid w:val="326D5C58"/>
    <w:rsid w:val="32A418AF"/>
    <w:rsid w:val="32FB8090"/>
    <w:rsid w:val="33276D87"/>
    <w:rsid w:val="332BF8BA"/>
    <w:rsid w:val="333D00E6"/>
    <w:rsid w:val="33428603"/>
    <w:rsid w:val="334CD832"/>
    <w:rsid w:val="334FB45A"/>
    <w:rsid w:val="33782EBD"/>
    <w:rsid w:val="338A1A8D"/>
    <w:rsid w:val="338DEA69"/>
    <w:rsid w:val="33907801"/>
    <w:rsid w:val="339688B5"/>
    <w:rsid w:val="33A32B11"/>
    <w:rsid w:val="33AC280E"/>
    <w:rsid w:val="33BBA36E"/>
    <w:rsid w:val="33D27EEA"/>
    <w:rsid w:val="33EBD9AB"/>
    <w:rsid w:val="33F5E545"/>
    <w:rsid w:val="34077CAD"/>
    <w:rsid w:val="340DAA36"/>
    <w:rsid w:val="3416ED22"/>
    <w:rsid w:val="341A8E68"/>
    <w:rsid w:val="34237F71"/>
    <w:rsid w:val="342605BB"/>
    <w:rsid w:val="34271EF3"/>
    <w:rsid w:val="342B351C"/>
    <w:rsid w:val="3437F802"/>
    <w:rsid w:val="343C51F1"/>
    <w:rsid w:val="344DF66C"/>
    <w:rsid w:val="3471571A"/>
    <w:rsid w:val="347FCC45"/>
    <w:rsid w:val="34823DFE"/>
    <w:rsid w:val="349ED72D"/>
    <w:rsid w:val="34A00AEE"/>
    <w:rsid w:val="34C4CE14"/>
    <w:rsid w:val="34EE1B84"/>
    <w:rsid w:val="34F89835"/>
    <w:rsid w:val="34F8F581"/>
    <w:rsid w:val="35441AF0"/>
    <w:rsid w:val="3545B2AA"/>
    <w:rsid w:val="35664B71"/>
    <w:rsid w:val="3598F7BC"/>
    <w:rsid w:val="35A5DFAB"/>
    <w:rsid w:val="35D8D1F9"/>
    <w:rsid w:val="35FC7F3C"/>
    <w:rsid w:val="360AF104"/>
    <w:rsid w:val="360EF709"/>
    <w:rsid w:val="362CDA09"/>
    <w:rsid w:val="3632540E"/>
    <w:rsid w:val="36391715"/>
    <w:rsid w:val="363C49E6"/>
    <w:rsid w:val="368A2E63"/>
    <w:rsid w:val="369E0DD6"/>
    <w:rsid w:val="3719E0F7"/>
    <w:rsid w:val="371B6AC1"/>
    <w:rsid w:val="371CC57D"/>
    <w:rsid w:val="372E869B"/>
    <w:rsid w:val="37354AC0"/>
    <w:rsid w:val="3741A9EF"/>
    <w:rsid w:val="3761C6D1"/>
    <w:rsid w:val="3767221F"/>
    <w:rsid w:val="378B9DEA"/>
    <w:rsid w:val="378BE6BB"/>
    <w:rsid w:val="379F2AB8"/>
    <w:rsid w:val="37A532C1"/>
    <w:rsid w:val="37B53C7B"/>
    <w:rsid w:val="37B80F61"/>
    <w:rsid w:val="37B82F5A"/>
    <w:rsid w:val="37C7C799"/>
    <w:rsid w:val="37E6850E"/>
    <w:rsid w:val="37EC9BAE"/>
    <w:rsid w:val="37F76F95"/>
    <w:rsid w:val="38348868"/>
    <w:rsid w:val="384648C2"/>
    <w:rsid w:val="385A2BA2"/>
    <w:rsid w:val="3863C3F3"/>
    <w:rsid w:val="38910937"/>
    <w:rsid w:val="389A4C08"/>
    <w:rsid w:val="38B350A0"/>
    <w:rsid w:val="38BA6A91"/>
    <w:rsid w:val="38BA8EA1"/>
    <w:rsid w:val="38C9A710"/>
    <w:rsid w:val="38F8E0EE"/>
    <w:rsid w:val="39061E1D"/>
    <w:rsid w:val="3909A5B2"/>
    <w:rsid w:val="3910633D"/>
    <w:rsid w:val="391451CC"/>
    <w:rsid w:val="393217A9"/>
    <w:rsid w:val="393A742B"/>
    <w:rsid w:val="39506A0D"/>
    <w:rsid w:val="39718164"/>
    <w:rsid w:val="3980FC5F"/>
    <w:rsid w:val="39D65987"/>
    <w:rsid w:val="39D7334A"/>
    <w:rsid w:val="39DC4A6E"/>
    <w:rsid w:val="3A011217"/>
    <w:rsid w:val="3A284CC9"/>
    <w:rsid w:val="3A2E230D"/>
    <w:rsid w:val="3A369786"/>
    <w:rsid w:val="3A56E4A7"/>
    <w:rsid w:val="3A5CE3F6"/>
    <w:rsid w:val="3A9F1684"/>
    <w:rsid w:val="3AA486F4"/>
    <w:rsid w:val="3ABD70D7"/>
    <w:rsid w:val="3ACA90A4"/>
    <w:rsid w:val="3AD795BC"/>
    <w:rsid w:val="3AE1947D"/>
    <w:rsid w:val="3B057EC1"/>
    <w:rsid w:val="3B1B7A65"/>
    <w:rsid w:val="3B320DE1"/>
    <w:rsid w:val="3B423E15"/>
    <w:rsid w:val="3B6D8ACC"/>
    <w:rsid w:val="3B75064F"/>
    <w:rsid w:val="3BA7DCBD"/>
    <w:rsid w:val="3BB6FD3F"/>
    <w:rsid w:val="3BC7106A"/>
    <w:rsid w:val="3BC7B936"/>
    <w:rsid w:val="3C1FCCBE"/>
    <w:rsid w:val="3C206E40"/>
    <w:rsid w:val="3C375804"/>
    <w:rsid w:val="3C42C971"/>
    <w:rsid w:val="3C67AE9A"/>
    <w:rsid w:val="3C693939"/>
    <w:rsid w:val="3C72560F"/>
    <w:rsid w:val="3C7B70C0"/>
    <w:rsid w:val="3CADE997"/>
    <w:rsid w:val="3CB1EE27"/>
    <w:rsid w:val="3CD81461"/>
    <w:rsid w:val="3CDA7020"/>
    <w:rsid w:val="3CEE1937"/>
    <w:rsid w:val="3D19D200"/>
    <w:rsid w:val="3D3393ED"/>
    <w:rsid w:val="3D388DF2"/>
    <w:rsid w:val="3D56AA38"/>
    <w:rsid w:val="3D56F6F7"/>
    <w:rsid w:val="3D60B028"/>
    <w:rsid w:val="3D9C2DEA"/>
    <w:rsid w:val="3DA636E9"/>
    <w:rsid w:val="3DB3847A"/>
    <w:rsid w:val="3DC21FF8"/>
    <w:rsid w:val="3DDE9CAE"/>
    <w:rsid w:val="3DECB587"/>
    <w:rsid w:val="3DF52996"/>
    <w:rsid w:val="3E21DADE"/>
    <w:rsid w:val="3E4CD710"/>
    <w:rsid w:val="3E53C940"/>
    <w:rsid w:val="3E55B12B"/>
    <w:rsid w:val="3EC9D08D"/>
    <w:rsid w:val="3ED4EDA0"/>
    <w:rsid w:val="3EDFFD8A"/>
    <w:rsid w:val="3F11B289"/>
    <w:rsid w:val="3F7016DF"/>
    <w:rsid w:val="3F9F899B"/>
    <w:rsid w:val="3FC097EE"/>
    <w:rsid w:val="3FCF2AFD"/>
    <w:rsid w:val="3FF1E493"/>
    <w:rsid w:val="4007BAD7"/>
    <w:rsid w:val="40094E66"/>
    <w:rsid w:val="401117F8"/>
    <w:rsid w:val="40172AA1"/>
    <w:rsid w:val="402FB18D"/>
    <w:rsid w:val="40461F64"/>
    <w:rsid w:val="40B68D1B"/>
    <w:rsid w:val="40BC1D52"/>
    <w:rsid w:val="4102A89B"/>
    <w:rsid w:val="41199B47"/>
    <w:rsid w:val="411B62AA"/>
    <w:rsid w:val="41205A5C"/>
    <w:rsid w:val="415605D4"/>
    <w:rsid w:val="41754B6C"/>
    <w:rsid w:val="418A7FD4"/>
    <w:rsid w:val="418BE63F"/>
    <w:rsid w:val="41AFE496"/>
    <w:rsid w:val="41CD60FF"/>
    <w:rsid w:val="41E67F68"/>
    <w:rsid w:val="42134DAE"/>
    <w:rsid w:val="426139C6"/>
    <w:rsid w:val="426CD109"/>
    <w:rsid w:val="4270E38A"/>
    <w:rsid w:val="42970458"/>
    <w:rsid w:val="42B7D67D"/>
    <w:rsid w:val="42D34E42"/>
    <w:rsid w:val="42E2E19A"/>
    <w:rsid w:val="430BA841"/>
    <w:rsid w:val="43111280"/>
    <w:rsid w:val="43181F54"/>
    <w:rsid w:val="4330B4B8"/>
    <w:rsid w:val="433DCD0A"/>
    <w:rsid w:val="4342E6A8"/>
    <w:rsid w:val="43492276"/>
    <w:rsid w:val="435479FE"/>
    <w:rsid w:val="4358CDE6"/>
    <w:rsid w:val="4360F5B3"/>
    <w:rsid w:val="436F0E54"/>
    <w:rsid w:val="436FAE3C"/>
    <w:rsid w:val="4376455B"/>
    <w:rsid w:val="4382D130"/>
    <w:rsid w:val="439D4785"/>
    <w:rsid w:val="43A43571"/>
    <w:rsid w:val="43AB35D6"/>
    <w:rsid w:val="43C84A2A"/>
    <w:rsid w:val="43D0800C"/>
    <w:rsid w:val="43E748C3"/>
    <w:rsid w:val="43FBE424"/>
    <w:rsid w:val="4430F814"/>
    <w:rsid w:val="443FBA33"/>
    <w:rsid w:val="4443C207"/>
    <w:rsid w:val="44540E61"/>
    <w:rsid w:val="447B3966"/>
    <w:rsid w:val="44AFF2B3"/>
    <w:rsid w:val="44B7A946"/>
    <w:rsid w:val="44BD52E4"/>
    <w:rsid w:val="44CDF3A9"/>
    <w:rsid w:val="44E086B7"/>
    <w:rsid w:val="44E98845"/>
    <w:rsid w:val="44EF8D14"/>
    <w:rsid w:val="44FAA5A1"/>
    <w:rsid w:val="45019954"/>
    <w:rsid w:val="45021AA7"/>
    <w:rsid w:val="450FAFFC"/>
    <w:rsid w:val="452CC96D"/>
    <w:rsid w:val="4535A7D8"/>
    <w:rsid w:val="453FA069"/>
    <w:rsid w:val="45481063"/>
    <w:rsid w:val="454C8D4E"/>
    <w:rsid w:val="455A5A84"/>
    <w:rsid w:val="45622B9F"/>
    <w:rsid w:val="45A8F988"/>
    <w:rsid w:val="45B06C93"/>
    <w:rsid w:val="45BECDD1"/>
    <w:rsid w:val="45C0EFE3"/>
    <w:rsid w:val="45E24419"/>
    <w:rsid w:val="45F0ED13"/>
    <w:rsid w:val="4613B0BF"/>
    <w:rsid w:val="461511C6"/>
    <w:rsid w:val="46257838"/>
    <w:rsid w:val="46469C76"/>
    <w:rsid w:val="46566354"/>
    <w:rsid w:val="4665F392"/>
    <w:rsid w:val="467070DD"/>
    <w:rsid w:val="46878045"/>
    <w:rsid w:val="4688EF47"/>
    <w:rsid w:val="4692FDFA"/>
    <w:rsid w:val="469A2BBC"/>
    <w:rsid w:val="46A368C0"/>
    <w:rsid w:val="46ABB20A"/>
    <w:rsid w:val="46B85090"/>
    <w:rsid w:val="46BD5A93"/>
    <w:rsid w:val="46BFBB62"/>
    <w:rsid w:val="46CDF63E"/>
    <w:rsid w:val="46CEF446"/>
    <w:rsid w:val="46DFD894"/>
    <w:rsid w:val="46E272DE"/>
    <w:rsid w:val="46FEECE8"/>
    <w:rsid w:val="47090B33"/>
    <w:rsid w:val="471892C4"/>
    <w:rsid w:val="47232C0C"/>
    <w:rsid w:val="47345EC3"/>
    <w:rsid w:val="4752F795"/>
    <w:rsid w:val="47585E1B"/>
    <w:rsid w:val="4762192B"/>
    <w:rsid w:val="4771D83E"/>
    <w:rsid w:val="4774FE4A"/>
    <w:rsid w:val="477528C8"/>
    <w:rsid w:val="47A5D740"/>
    <w:rsid w:val="47C6F900"/>
    <w:rsid w:val="47C74BA6"/>
    <w:rsid w:val="47E3DF67"/>
    <w:rsid w:val="47F938D7"/>
    <w:rsid w:val="484A0B7B"/>
    <w:rsid w:val="4856C464"/>
    <w:rsid w:val="48740F4D"/>
    <w:rsid w:val="487DCE2D"/>
    <w:rsid w:val="48812157"/>
    <w:rsid w:val="4883E280"/>
    <w:rsid w:val="48B4277A"/>
    <w:rsid w:val="48B8F445"/>
    <w:rsid w:val="48CC337C"/>
    <w:rsid w:val="48CC61C3"/>
    <w:rsid w:val="48E2D7F5"/>
    <w:rsid w:val="4904D670"/>
    <w:rsid w:val="4905A735"/>
    <w:rsid w:val="4905B265"/>
    <w:rsid w:val="49170D25"/>
    <w:rsid w:val="493B2E35"/>
    <w:rsid w:val="4941D31E"/>
    <w:rsid w:val="4947103D"/>
    <w:rsid w:val="494E5213"/>
    <w:rsid w:val="4981F6E9"/>
    <w:rsid w:val="49C23C70"/>
    <w:rsid w:val="49F6E051"/>
    <w:rsid w:val="4A1F24F1"/>
    <w:rsid w:val="4A34CB98"/>
    <w:rsid w:val="4A375630"/>
    <w:rsid w:val="4A4920C1"/>
    <w:rsid w:val="4A51045E"/>
    <w:rsid w:val="4A5C223C"/>
    <w:rsid w:val="4A94C45C"/>
    <w:rsid w:val="4AABE90E"/>
    <w:rsid w:val="4AD8614B"/>
    <w:rsid w:val="4ADE8C4E"/>
    <w:rsid w:val="4AEE2F4D"/>
    <w:rsid w:val="4B12BBDB"/>
    <w:rsid w:val="4B18CE4E"/>
    <w:rsid w:val="4B1D4D16"/>
    <w:rsid w:val="4B75B172"/>
    <w:rsid w:val="4BA4619A"/>
    <w:rsid w:val="4BC9BAF3"/>
    <w:rsid w:val="4C10F5BC"/>
    <w:rsid w:val="4C1D6A0E"/>
    <w:rsid w:val="4C1D8B38"/>
    <w:rsid w:val="4C41E338"/>
    <w:rsid w:val="4C511F4F"/>
    <w:rsid w:val="4C5425BB"/>
    <w:rsid w:val="4C6D4923"/>
    <w:rsid w:val="4C785501"/>
    <w:rsid w:val="4CCE0267"/>
    <w:rsid w:val="4CE5187E"/>
    <w:rsid w:val="4D36FB68"/>
    <w:rsid w:val="4D47C732"/>
    <w:rsid w:val="4D5C289B"/>
    <w:rsid w:val="4D8FD9A7"/>
    <w:rsid w:val="4DA1DD83"/>
    <w:rsid w:val="4DB4CAB4"/>
    <w:rsid w:val="4DCD0818"/>
    <w:rsid w:val="4DE85C4E"/>
    <w:rsid w:val="4DEFD67D"/>
    <w:rsid w:val="4DF500BC"/>
    <w:rsid w:val="4E0408A5"/>
    <w:rsid w:val="4E04A9C6"/>
    <w:rsid w:val="4E13E3A5"/>
    <w:rsid w:val="4E4AE6A5"/>
    <w:rsid w:val="4E6DD662"/>
    <w:rsid w:val="4E7B8F36"/>
    <w:rsid w:val="4EDC8D3D"/>
    <w:rsid w:val="4EF3AA07"/>
    <w:rsid w:val="4F2B4C03"/>
    <w:rsid w:val="4F4DDB52"/>
    <w:rsid w:val="4F97B9BE"/>
    <w:rsid w:val="4FA73639"/>
    <w:rsid w:val="4FB6C555"/>
    <w:rsid w:val="4FD77851"/>
    <w:rsid w:val="4FE97687"/>
    <w:rsid w:val="4FEB5A16"/>
    <w:rsid w:val="4FED0A8C"/>
    <w:rsid w:val="4FF0AE23"/>
    <w:rsid w:val="4FF80978"/>
    <w:rsid w:val="4FFD9A25"/>
    <w:rsid w:val="500BBFA2"/>
    <w:rsid w:val="5013348C"/>
    <w:rsid w:val="502880F6"/>
    <w:rsid w:val="5029C59B"/>
    <w:rsid w:val="502DC060"/>
    <w:rsid w:val="50723491"/>
    <w:rsid w:val="5073123F"/>
    <w:rsid w:val="508842EE"/>
    <w:rsid w:val="50B532F0"/>
    <w:rsid w:val="50C721DE"/>
    <w:rsid w:val="50CC1FB5"/>
    <w:rsid w:val="50F11110"/>
    <w:rsid w:val="50F2C9B1"/>
    <w:rsid w:val="50FEC2BB"/>
    <w:rsid w:val="5107F009"/>
    <w:rsid w:val="51200DC4"/>
    <w:rsid w:val="51247F1F"/>
    <w:rsid w:val="5125ECAA"/>
    <w:rsid w:val="514B1853"/>
    <w:rsid w:val="515B6185"/>
    <w:rsid w:val="515BDD48"/>
    <w:rsid w:val="5175A67A"/>
    <w:rsid w:val="517744A1"/>
    <w:rsid w:val="51A1EEDD"/>
    <w:rsid w:val="51C3D3C9"/>
    <w:rsid w:val="51CBEA88"/>
    <w:rsid w:val="51D23D48"/>
    <w:rsid w:val="51D5FF7B"/>
    <w:rsid w:val="51D88EA7"/>
    <w:rsid w:val="51DD90D8"/>
    <w:rsid w:val="51EC4765"/>
    <w:rsid w:val="5205E32D"/>
    <w:rsid w:val="5222B124"/>
    <w:rsid w:val="5223B0A7"/>
    <w:rsid w:val="52358674"/>
    <w:rsid w:val="52481888"/>
    <w:rsid w:val="524EAB43"/>
    <w:rsid w:val="524F1CC6"/>
    <w:rsid w:val="52822965"/>
    <w:rsid w:val="52B60FAC"/>
    <w:rsid w:val="52E01DEA"/>
    <w:rsid w:val="52E2C874"/>
    <w:rsid w:val="52E698EE"/>
    <w:rsid w:val="52E97CFC"/>
    <w:rsid w:val="52FFDD73"/>
    <w:rsid w:val="53014A13"/>
    <w:rsid w:val="53120DED"/>
    <w:rsid w:val="5324B084"/>
    <w:rsid w:val="5382F488"/>
    <w:rsid w:val="53A26AD2"/>
    <w:rsid w:val="53A7E6F8"/>
    <w:rsid w:val="53B5AC92"/>
    <w:rsid w:val="540DE81E"/>
    <w:rsid w:val="543658C0"/>
    <w:rsid w:val="5440230F"/>
    <w:rsid w:val="545516A8"/>
    <w:rsid w:val="545DA27F"/>
    <w:rsid w:val="54B65A87"/>
    <w:rsid w:val="54BE62EE"/>
    <w:rsid w:val="54D229FD"/>
    <w:rsid w:val="54D5AA93"/>
    <w:rsid w:val="54E5615C"/>
    <w:rsid w:val="54EA7518"/>
    <w:rsid w:val="54FE5988"/>
    <w:rsid w:val="5507C9FE"/>
    <w:rsid w:val="55204BA2"/>
    <w:rsid w:val="552FE0A0"/>
    <w:rsid w:val="5592BB49"/>
    <w:rsid w:val="559590DD"/>
    <w:rsid w:val="559BF94E"/>
    <w:rsid w:val="55C3F8EA"/>
    <w:rsid w:val="55C44C1A"/>
    <w:rsid w:val="55E347DE"/>
    <w:rsid w:val="55EA06B3"/>
    <w:rsid w:val="55FAFD49"/>
    <w:rsid w:val="560A4773"/>
    <w:rsid w:val="560EEE6C"/>
    <w:rsid w:val="56414443"/>
    <w:rsid w:val="564A2336"/>
    <w:rsid w:val="565AEAD2"/>
    <w:rsid w:val="569DDDF0"/>
    <w:rsid w:val="569EBFC1"/>
    <w:rsid w:val="56CC2066"/>
    <w:rsid w:val="56CCCEAB"/>
    <w:rsid w:val="56D0C8ED"/>
    <w:rsid w:val="56D0E68B"/>
    <w:rsid w:val="56D1CE5F"/>
    <w:rsid w:val="56D48303"/>
    <w:rsid w:val="56ECAB6C"/>
    <w:rsid w:val="570A5BFB"/>
    <w:rsid w:val="57447C09"/>
    <w:rsid w:val="574E1BAD"/>
    <w:rsid w:val="57562F95"/>
    <w:rsid w:val="576F1F84"/>
    <w:rsid w:val="5775A33D"/>
    <w:rsid w:val="577F71FF"/>
    <w:rsid w:val="5784798E"/>
    <w:rsid w:val="5784A499"/>
    <w:rsid w:val="5792346D"/>
    <w:rsid w:val="57CE2B15"/>
    <w:rsid w:val="57E48FBA"/>
    <w:rsid w:val="57E618AE"/>
    <w:rsid w:val="5803E453"/>
    <w:rsid w:val="580E0709"/>
    <w:rsid w:val="58459C64"/>
    <w:rsid w:val="5890C05E"/>
    <w:rsid w:val="589A923B"/>
    <w:rsid w:val="58A11B6F"/>
    <w:rsid w:val="58C2C9F1"/>
    <w:rsid w:val="58DFF02D"/>
    <w:rsid w:val="58F7B160"/>
    <w:rsid w:val="58FB9801"/>
    <w:rsid w:val="590B6CCC"/>
    <w:rsid w:val="5910F2D6"/>
    <w:rsid w:val="5919322C"/>
    <w:rsid w:val="591B3046"/>
    <w:rsid w:val="591BE4F0"/>
    <w:rsid w:val="5930412F"/>
    <w:rsid w:val="59335DB2"/>
    <w:rsid w:val="59586099"/>
    <w:rsid w:val="59678320"/>
    <w:rsid w:val="5969D642"/>
    <w:rsid w:val="5973BCC8"/>
    <w:rsid w:val="598776CA"/>
    <w:rsid w:val="599563B7"/>
    <w:rsid w:val="59A20F92"/>
    <w:rsid w:val="59C800F4"/>
    <w:rsid w:val="59D7D681"/>
    <w:rsid w:val="59F0622D"/>
    <w:rsid w:val="59F4D997"/>
    <w:rsid w:val="5A20FA3D"/>
    <w:rsid w:val="5A23CF20"/>
    <w:rsid w:val="5A297E85"/>
    <w:rsid w:val="5A2E0DB1"/>
    <w:rsid w:val="5A48E951"/>
    <w:rsid w:val="5A843575"/>
    <w:rsid w:val="5ABA36DE"/>
    <w:rsid w:val="5AD30D71"/>
    <w:rsid w:val="5AD9D1C4"/>
    <w:rsid w:val="5AFEB946"/>
    <w:rsid w:val="5B2E8708"/>
    <w:rsid w:val="5B371ECB"/>
    <w:rsid w:val="5B5647A6"/>
    <w:rsid w:val="5B686354"/>
    <w:rsid w:val="5B688E04"/>
    <w:rsid w:val="5B70778F"/>
    <w:rsid w:val="5B8FE4F2"/>
    <w:rsid w:val="5BA2AD73"/>
    <w:rsid w:val="5BAE67AB"/>
    <w:rsid w:val="5BDB9E7C"/>
    <w:rsid w:val="5BEEE52D"/>
    <w:rsid w:val="5C1A06C7"/>
    <w:rsid w:val="5C5169A3"/>
    <w:rsid w:val="5CD5CA1B"/>
    <w:rsid w:val="5D22EEDE"/>
    <w:rsid w:val="5D328761"/>
    <w:rsid w:val="5D422236"/>
    <w:rsid w:val="5D461297"/>
    <w:rsid w:val="5D7ECD72"/>
    <w:rsid w:val="5DA9CBA9"/>
    <w:rsid w:val="5DD405DF"/>
    <w:rsid w:val="5DEAB01D"/>
    <w:rsid w:val="5E0AE04F"/>
    <w:rsid w:val="5E16C7C7"/>
    <w:rsid w:val="5E27EA3A"/>
    <w:rsid w:val="5E3AD20E"/>
    <w:rsid w:val="5E45ECD8"/>
    <w:rsid w:val="5E56F11A"/>
    <w:rsid w:val="5E65FB21"/>
    <w:rsid w:val="5E7741C7"/>
    <w:rsid w:val="5E784601"/>
    <w:rsid w:val="5E9429F6"/>
    <w:rsid w:val="5E946034"/>
    <w:rsid w:val="5E9CB160"/>
    <w:rsid w:val="5EC6E1B5"/>
    <w:rsid w:val="5F0107F2"/>
    <w:rsid w:val="5F04275B"/>
    <w:rsid w:val="5F12CAD5"/>
    <w:rsid w:val="5F1CBA58"/>
    <w:rsid w:val="5F2AF29A"/>
    <w:rsid w:val="5F31D34F"/>
    <w:rsid w:val="5F329168"/>
    <w:rsid w:val="5F41D451"/>
    <w:rsid w:val="5F4F48C2"/>
    <w:rsid w:val="5F5380AB"/>
    <w:rsid w:val="5F988715"/>
    <w:rsid w:val="5F9F8C35"/>
    <w:rsid w:val="5FB57E75"/>
    <w:rsid w:val="5FE9816E"/>
    <w:rsid w:val="5FFE8FD7"/>
    <w:rsid w:val="5FFFB539"/>
    <w:rsid w:val="600E1A5E"/>
    <w:rsid w:val="60365039"/>
    <w:rsid w:val="6036E948"/>
    <w:rsid w:val="604139AD"/>
    <w:rsid w:val="6048FD02"/>
    <w:rsid w:val="605C26CB"/>
    <w:rsid w:val="606FA16D"/>
    <w:rsid w:val="6089F9D0"/>
    <w:rsid w:val="60E41401"/>
    <w:rsid w:val="60E5AAE4"/>
    <w:rsid w:val="61084FD2"/>
    <w:rsid w:val="6127993C"/>
    <w:rsid w:val="61337234"/>
    <w:rsid w:val="61488CAC"/>
    <w:rsid w:val="614EBD4E"/>
    <w:rsid w:val="615828F8"/>
    <w:rsid w:val="61668350"/>
    <w:rsid w:val="617236DB"/>
    <w:rsid w:val="61780344"/>
    <w:rsid w:val="618C7AAF"/>
    <w:rsid w:val="61A40E7D"/>
    <w:rsid w:val="61AB5002"/>
    <w:rsid w:val="61B06F59"/>
    <w:rsid w:val="61BC19C4"/>
    <w:rsid w:val="61D8748F"/>
    <w:rsid w:val="61E4CD79"/>
    <w:rsid w:val="62046F68"/>
    <w:rsid w:val="6207D2D0"/>
    <w:rsid w:val="621366B6"/>
    <w:rsid w:val="6230AE1E"/>
    <w:rsid w:val="623BDEE1"/>
    <w:rsid w:val="6251B875"/>
    <w:rsid w:val="62546798"/>
    <w:rsid w:val="62565BCA"/>
    <w:rsid w:val="626AAFFA"/>
    <w:rsid w:val="626BFA67"/>
    <w:rsid w:val="6271600E"/>
    <w:rsid w:val="627C4CA9"/>
    <w:rsid w:val="629A9AA2"/>
    <w:rsid w:val="62A79899"/>
    <w:rsid w:val="62A894E4"/>
    <w:rsid w:val="62CB61B3"/>
    <w:rsid w:val="62D19E77"/>
    <w:rsid w:val="62D9AE5F"/>
    <w:rsid w:val="62E3A1F5"/>
    <w:rsid w:val="62E92556"/>
    <w:rsid w:val="62F60AC4"/>
    <w:rsid w:val="633D730F"/>
    <w:rsid w:val="634CE932"/>
    <w:rsid w:val="6352F45D"/>
    <w:rsid w:val="635954A5"/>
    <w:rsid w:val="6373C35B"/>
    <w:rsid w:val="638EFA8E"/>
    <w:rsid w:val="63A46169"/>
    <w:rsid w:val="63ABB3E6"/>
    <w:rsid w:val="63AC5C76"/>
    <w:rsid w:val="63BC1FE5"/>
    <w:rsid w:val="63C7C944"/>
    <w:rsid w:val="63F2A202"/>
    <w:rsid w:val="63F8876A"/>
    <w:rsid w:val="63FBEF43"/>
    <w:rsid w:val="6409593A"/>
    <w:rsid w:val="6423604C"/>
    <w:rsid w:val="642770F7"/>
    <w:rsid w:val="6443DA42"/>
    <w:rsid w:val="6444E82D"/>
    <w:rsid w:val="6489400C"/>
    <w:rsid w:val="64953606"/>
    <w:rsid w:val="64A55623"/>
    <w:rsid w:val="64B06C12"/>
    <w:rsid w:val="64C69EAC"/>
    <w:rsid w:val="64D6C0CB"/>
    <w:rsid w:val="64E84D3D"/>
    <w:rsid w:val="64FB3D13"/>
    <w:rsid w:val="650216FD"/>
    <w:rsid w:val="6553B08B"/>
    <w:rsid w:val="655C74A7"/>
    <w:rsid w:val="65810A70"/>
    <w:rsid w:val="65935098"/>
    <w:rsid w:val="65AEC146"/>
    <w:rsid w:val="65C6BFC8"/>
    <w:rsid w:val="65CE8B8E"/>
    <w:rsid w:val="65D264D1"/>
    <w:rsid w:val="65F20554"/>
    <w:rsid w:val="65F8F24C"/>
    <w:rsid w:val="663AE5CF"/>
    <w:rsid w:val="664878B4"/>
    <w:rsid w:val="664A8C8B"/>
    <w:rsid w:val="666A8E43"/>
    <w:rsid w:val="66715FD6"/>
    <w:rsid w:val="667F3178"/>
    <w:rsid w:val="66800797"/>
    <w:rsid w:val="66DDBCDC"/>
    <w:rsid w:val="66E93458"/>
    <w:rsid w:val="671AFD1C"/>
    <w:rsid w:val="67271D9A"/>
    <w:rsid w:val="6729C6EC"/>
    <w:rsid w:val="67372B76"/>
    <w:rsid w:val="67391721"/>
    <w:rsid w:val="673B917B"/>
    <w:rsid w:val="676E75AB"/>
    <w:rsid w:val="67D3CC64"/>
    <w:rsid w:val="67DF5E24"/>
    <w:rsid w:val="67E34487"/>
    <w:rsid w:val="67E66EB4"/>
    <w:rsid w:val="67FFF832"/>
    <w:rsid w:val="68114426"/>
    <w:rsid w:val="6815AB8D"/>
    <w:rsid w:val="68182AD4"/>
    <w:rsid w:val="682D3F33"/>
    <w:rsid w:val="683AD11E"/>
    <w:rsid w:val="684ABF07"/>
    <w:rsid w:val="688250F2"/>
    <w:rsid w:val="68BA3F55"/>
    <w:rsid w:val="68FD9B6F"/>
    <w:rsid w:val="69093C45"/>
    <w:rsid w:val="69352FC3"/>
    <w:rsid w:val="69904E62"/>
    <w:rsid w:val="699C77FD"/>
    <w:rsid w:val="69A01F0D"/>
    <w:rsid w:val="69C1988D"/>
    <w:rsid w:val="69DDA2E8"/>
    <w:rsid w:val="69E570D3"/>
    <w:rsid w:val="69E5FCAC"/>
    <w:rsid w:val="69E69B33"/>
    <w:rsid w:val="69E70435"/>
    <w:rsid w:val="69E923E7"/>
    <w:rsid w:val="69EF3D04"/>
    <w:rsid w:val="6A0F5DC2"/>
    <w:rsid w:val="6A10B2B1"/>
    <w:rsid w:val="6A2F1033"/>
    <w:rsid w:val="6A31D813"/>
    <w:rsid w:val="6A43833A"/>
    <w:rsid w:val="6A6A6299"/>
    <w:rsid w:val="6A880EAF"/>
    <w:rsid w:val="6A8A70C1"/>
    <w:rsid w:val="6AB49B35"/>
    <w:rsid w:val="6AE1C8D9"/>
    <w:rsid w:val="6AE709B5"/>
    <w:rsid w:val="6B475EDC"/>
    <w:rsid w:val="6B511CE8"/>
    <w:rsid w:val="6B543801"/>
    <w:rsid w:val="6B66EF4D"/>
    <w:rsid w:val="6B87505C"/>
    <w:rsid w:val="6B889BC5"/>
    <w:rsid w:val="6B9BDF12"/>
    <w:rsid w:val="6BAA9ECE"/>
    <w:rsid w:val="6BC10D3D"/>
    <w:rsid w:val="6BCE23E1"/>
    <w:rsid w:val="6BCEF5D1"/>
    <w:rsid w:val="6BDA47B4"/>
    <w:rsid w:val="6C2146AE"/>
    <w:rsid w:val="6C2B7F15"/>
    <w:rsid w:val="6C3F2480"/>
    <w:rsid w:val="6C50AE1A"/>
    <w:rsid w:val="6C589938"/>
    <w:rsid w:val="6C652BB3"/>
    <w:rsid w:val="6C7C0447"/>
    <w:rsid w:val="6CA153DD"/>
    <w:rsid w:val="6CB2EC44"/>
    <w:rsid w:val="6CC58A93"/>
    <w:rsid w:val="6CC97F47"/>
    <w:rsid w:val="6CC9FDB8"/>
    <w:rsid w:val="6CCC8B36"/>
    <w:rsid w:val="6CD02367"/>
    <w:rsid w:val="6CEEC2F7"/>
    <w:rsid w:val="6CEF2B27"/>
    <w:rsid w:val="6CF059D8"/>
    <w:rsid w:val="6D120BE3"/>
    <w:rsid w:val="6D1A7664"/>
    <w:rsid w:val="6D31CA7F"/>
    <w:rsid w:val="6D3B6E45"/>
    <w:rsid w:val="6D496A0D"/>
    <w:rsid w:val="6D4C4C75"/>
    <w:rsid w:val="6D65F6D1"/>
    <w:rsid w:val="6D7B33E0"/>
    <w:rsid w:val="6DDCE6A0"/>
    <w:rsid w:val="6E143225"/>
    <w:rsid w:val="6E3E36CC"/>
    <w:rsid w:val="6E3E53EF"/>
    <w:rsid w:val="6E4F1917"/>
    <w:rsid w:val="6E611552"/>
    <w:rsid w:val="6E7524FD"/>
    <w:rsid w:val="6E92B8A1"/>
    <w:rsid w:val="6EAB0841"/>
    <w:rsid w:val="6EBE9C34"/>
    <w:rsid w:val="6ED47AAB"/>
    <w:rsid w:val="6ED861FE"/>
    <w:rsid w:val="6EE9EEF5"/>
    <w:rsid w:val="6F111B52"/>
    <w:rsid w:val="6F7DCE0A"/>
    <w:rsid w:val="6F80D8BC"/>
    <w:rsid w:val="6F8AC3D2"/>
    <w:rsid w:val="6FCC9027"/>
    <w:rsid w:val="6FD253CD"/>
    <w:rsid w:val="6FD8E970"/>
    <w:rsid w:val="6FE8A50C"/>
    <w:rsid w:val="6FEA9547"/>
    <w:rsid w:val="70050B37"/>
    <w:rsid w:val="700612D6"/>
    <w:rsid w:val="70286D8F"/>
    <w:rsid w:val="7053F1F0"/>
    <w:rsid w:val="705B71E9"/>
    <w:rsid w:val="7080590F"/>
    <w:rsid w:val="709236D6"/>
    <w:rsid w:val="70B8950A"/>
    <w:rsid w:val="70BDF4D5"/>
    <w:rsid w:val="70E8BFD7"/>
    <w:rsid w:val="70F2F954"/>
    <w:rsid w:val="71133257"/>
    <w:rsid w:val="712CA78D"/>
    <w:rsid w:val="71330446"/>
    <w:rsid w:val="71494DF2"/>
    <w:rsid w:val="716657D1"/>
    <w:rsid w:val="71CA43B7"/>
    <w:rsid w:val="71CB9C86"/>
    <w:rsid w:val="71D09BBE"/>
    <w:rsid w:val="71DABED9"/>
    <w:rsid w:val="71DB80E1"/>
    <w:rsid w:val="71F7A3FA"/>
    <w:rsid w:val="72059A0D"/>
    <w:rsid w:val="72074CF3"/>
    <w:rsid w:val="723411A1"/>
    <w:rsid w:val="72407D92"/>
    <w:rsid w:val="7247700A"/>
    <w:rsid w:val="725032FE"/>
    <w:rsid w:val="7256FD9A"/>
    <w:rsid w:val="7282C934"/>
    <w:rsid w:val="72BC0588"/>
    <w:rsid w:val="731AACEC"/>
    <w:rsid w:val="731CACC2"/>
    <w:rsid w:val="734E4816"/>
    <w:rsid w:val="7351C825"/>
    <w:rsid w:val="736FE1E2"/>
    <w:rsid w:val="73859F43"/>
    <w:rsid w:val="73B0C06B"/>
    <w:rsid w:val="73D3AB0A"/>
    <w:rsid w:val="73E2F022"/>
    <w:rsid w:val="744BD2C0"/>
    <w:rsid w:val="74765F37"/>
    <w:rsid w:val="749A5884"/>
    <w:rsid w:val="749FBC3C"/>
    <w:rsid w:val="749FC5A9"/>
    <w:rsid w:val="74A73F75"/>
    <w:rsid w:val="74BB47A0"/>
    <w:rsid w:val="74EA71F5"/>
    <w:rsid w:val="74F3B9BE"/>
    <w:rsid w:val="751E49D6"/>
    <w:rsid w:val="753CF6F5"/>
    <w:rsid w:val="7546FF18"/>
    <w:rsid w:val="755C28EE"/>
    <w:rsid w:val="757E2675"/>
    <w:rsid w:val="75A1BF0A"/>
    <w:rsid w:val="75BADC0E"/>
    <w:rsid w:val="75D489A3"/>
    <w:rsid w:val="75EEAEF7"/>
    <w:rsid w:val="75F17850"/>
    <w:rsid w:val="75F42D02"/>
    <w:rsid w:val="7610680E"/>
    <w:rsid w:val="76269328"/>
    <w:rsid w:val="764A3F78"/>
    <w:rsid w:val="76545B72"/>
    <w:rsid w:val="7665CBBC"/>
    <w:rsid w:val="767A4E2F"/>
    <w:rsid w:val="7687BC55"/>
    <w:rsid w:val="768A81FA"/>
    <w:rsid w:val="769473E7"/>
    <w:rsid w:val="76B0BFFB"/>
    <w:rsid w:val="76B8EB86"/>
    <w:rsid w:val="76BE59BD"/>
    <w:rsid w:val="76CDF0C8"/>
    <w:rsid w:val="76D19C56"/>
    <w:rsid w:val="76D3D785"/>
    <w:rsid w:val="76F5F4F2"/>
    <w:rsid w:val="771C5848"/>
    <w:rsid w:val="772F61F4"/>
    <w:rsid w:val="7734CCC1"/>
    <w:rsid w:val="77628636"/>
    <w:rsid w:val="7771089D"/>
    <w:rsid w:val="7771B8C9"/>
    <w:rsid w:val="77A1D0A4"/>
    <w:rsid w:val="77BF8782"/>
    <w:rsid w:val="77C086FD"/>
    <w:rsid w:val="78028130"/>
    <w:rsid w:val="7815E026"/>
    <w:rsid w:val="781B3F60"/>
    <w:rsid w:val="7837F6D4"/>
    <w:rsid w:val="786EFB61"/>
    <w:rsid w:val="7886766A"/>
    <w:rsid w:val="7898D8E4"/>
    <w:rsid w:val="78A3BE20"/>
    <w:rsid w:val="78AE79AF"/>
    <w:rsid w:val="78BF72E7"/>
    <w:rsid w:val="78EEE495"/>
    <w:rsid w:val="78FD7716"/>
    <w:rsid w:val="79020CCC"/>
    <w:rsid w:val="79593E60"/>
    <w:rsid w:val="7967B7BE"/>
    <w:rsid w:val="79684F12"/>
    <w:rsid w:val="797D53C8"/>
    <w:rsid w:val="79875A3A"/>
    <w:rsid w:val="7989D28B"/>
    <w:rsid w:val="7992BE3F"/>
    <w:rsid w:val="7996591C"/>
    <w:rsid w:val="799B7E55"/>
    <w:rsid w:val="79A1225A"/>
    <w:rsid w:val="79C521CB"/>
    <w:rsid w:val="79DAB4AC"/>
    <w:rsid w:val="79DF6273"/>
    <w:rsid w:val="7A090CE7"/>
    <w:rsid w:val="7A15FEF4"/>
    <w:rsid w:val="7A1E28D9"/>
    <w:rsid w:val="7A4C078B"/>
    <w:rsid w:val="7A5D7D2C"/>
    <w:rsid w:val="7A5EF05B"/>
    <w:rsid w:val="7A6B13FD"/>
    <w:rsid w:val="7A79D7F8"/>
    <w:rsid w:val="7ACB7A8A"/>
    <w:rsid w:val="7ACE5E50"/>
    <w:rsid w:val="7AD6F9E4"/>
    <w:rsid w:val="7ADEBB8D"/>
    <w:rsid w:val="7AE7FBFD"/>
    <w:rsid w:val="7B048D7C"/>
    <w:rsid w:val="7B16DF6B"/>
    <w:rsid w:val="7B1E829F"/>
    <w:rsid w:val="7B5951C5"/>
    <w:rsid w:val="7B6FDFF3"/>
    <w:rsid w:val="7B988106"/>
    <w:rsid w:val="7B9956B1"/>
    <w:rsid w:val="7BAEA807"/>
    <w:rsid w:val="7BB509DE"/>
    <w:rsid w:val="7BDE2F38"/>
    <w:rsid w:val="7C14E297"/>
    <w:rsid w:val="7C4567D8"/>
    <w:rsid w:val="7C6C1570"/>
    <w:rsid w:val="7C734B3B"/>
    <w:rsid w:val="7C935830"/>
    <w:rsid w:val="7C940FAA"/>
    <w:rsid w:val="7CC0BA38"/>
    <w:rsid w:val="7CD212DA"/>
    <w:rsid w:val="7CDC890D"/>
    <w:rsid w:val="7CF6868B"/>
    <w:rsid w:val="7CFD8DAB"/>
    <w:rsid w:val="7D0425E5"/>
    <w:rsid w:val="7D161F94"/>
    <w:rsid w:val="7D30D58B"/>
    <w:rsid w:val="7D3B3C40"/>
    <w:rsid w:val="7D49582A"/>
    <w:rsid w:val="7D4A2A06"/>
    <w:rsid w:val="7D6B98E2"/>
    <w:rsid w:val="7D6D11AB"/>
    <w:rsid w:val="7D786A51"/>
    <w:rsid w:val="7D7A1F42"/>
    <w:rsid w:val="7DA933AC"/>
    <w:rsid w:val="7DC88367"/>
    <w:rsid w:val="7DDC2767"/>
    <w:rsid w:val="7DE45800"/>
    <w:rsid w:val="7DFB3CDB"/>
    <w:rsid w:val="7E5A2C7C"/>
    <w:rsid w:val="7E5DAD99"/>
    <w:rsid w:val="7E5DF2F9"/>
    <w:rsid w:val="7E73950C"/>
    <w:rsid w:val="7EA39789"/>
    <w:rsid w:val="7EA414A2"/>
    <w:rsid w:val="7EADC121"/>
    <w:rsid w:val="7EDFE6F5"/>
    <w:rsid w:val="7EF75696"/>
    <w:rsid w:val="7F13F90D"/>
    <w:rsid w:val="7F2D865A"/>
    <w:rsid w:val="7F39EB27"/>
    <w:rsid w:val="7F4B37E8"/>
    <w:rsid w:val="7F599E0B"/>
    <w:rsid w:val="7F625686"/>
    <w:rsid w:val="7F677966"/>
    <w:rsid w:val="7F6DDDAF"/>
    <w:rsid w:val="7F7A229A"/>
    <w:rsid w:val="7F8B54A7"/>
    <w:rsid w:val="7F9CD60B"/>
    <w:rsid w:val="7FCABC0B"/>
    <w:rsid w:val="7FF4D0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9B960"/>
  <w15:chartTrackingRefBased/>
  <w15:docId w15:val="{D96ACB1B-63DE-4C93-AB46-8766BD3A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 w:val="32"/>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C8E"/>
    <w:pPr>
      <w:spacing w:after="0" w:line="240" w:lineRule="auto"/>
    </w:pPr>
  </w:style>
  <w:style w:type="paragraph" w:styleId="Heading1">
    <w:name w:val="heading 1"/>
    <w:basedOn w:val="Normal"/>
    <w:next w:val="Normal"/>
    <w:link w:val="Heading1Char"/>
    <w:uiPriority w:val="9"/>
    <w:qFormat/>
    <w:rsid w:val="00E12C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12C8E"/>
    <w:pPr>
      <w:keepNext/>
      <w:keepLines/>
      <w:spacing w:before="160" w:after="80"/>
      <w:outlineLvl w:val="1"/>
    </w:pPr>
    <w:rPr>
      <w:rFonts w:asciiTheme="majorHAnsi" w:eastAsiaTheme="majorEastAsia" w:hAnsiTheme="majorHAnsi" w:cstheme="majorBidi"/>
      <w:color w:val="0F4761" w:themeColor="accent1" w:themeShade="BF"/>
      <w:szCs w:val="32"/>
    </w:rPr>
  </w:style>
  <w:style w:type="paragraph" w:styleId="Heading3">
    <w:name w:val="heading 3"/>
    <w:basedOn w:val="Normal"/>
    <w:next w:val="Normal"/>
    <w:link w:val="Heading3Char"/>
    <w:uiPriority w:val="9"/>
    <w:unhideWhenUsed/>
    <w:qFormat/>
    <w:rsid w:val="00E12C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12C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12C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2C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2C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2C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2C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C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12C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2C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12C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12C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2C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2C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2C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2C8E"/>
    <w:rPr>
      <w:rFonts w:eastAsiaTheme="majorEastAsia" w:cstheme="majorBidi"/>
      <w:color w:val="272727" w:themeColor="text1" w:themeTint="D8"/>
    </w:rPr>
  </w:style>
  <w:style w:type="paragraph" w:styleId="Title">
    <w:name w:val="Title"/>
    <w:basedOn w:val="Normal"/>
    <w:next w:val="Normal"/>
    <w:link w:val="TitleChar"/>
    <w:uiPriority w:val="10"/>
    <w:qFormat/>
    <w:rsid w:val="00E12C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2C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2C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2C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2C8E"/>
    <w:pPr>
      <w:spacing w:before="160"/>
      <w:jc w:val="center"/>
    </w:pPr>
    <w:rPr>
      <w:i/>
      <w:iCs/>
      <w:color w:val="404040" w:themeColor="text1" w:themeTint="BF"/>
    </w:rPr>
  </w:style>
  <w:style w:type="character" w:customStyle="1" w:styleId="QuoteChar">
    <w:name w:val="Quote Char"/>
    <w:basedOn w:val="DefaultParagraphFont"/>
    <w:link w:val="Quote"/>
    <w:uiPriority w:val="29"/>
    <w:rsid w:val="00E12C8E"/>
    <w:rPr>
      <w:i/>
      <w:iCs/>
      <w:color w:val="404040" w:themeColor="text1" w:themeTint="BF"/>
    </w:rPr>
  </w:style>
  <w:style w:type="paragraph" w:styleId="ListParagraph">
    <w:name w:val="List Paragraph"/>
    <w:basedOn w:val="Normal"/>
    <w:uiPriority w:val="34"/>
    <w:qFormat/>
    <w:rsid w:val="00E12C8E"/>
    <w:pPr>
      <w:ind w:left="720"/>
      <w:contextualSpacing/>
    </w:pPr>
  </w:style>
  <w:style w:type="character" w:styleId="IntenseEmphasis">
    <w:name w:val="Intense Emphasis"/>
    <w:basedOn w:val="DefaultParagraphFont"/>
    <w:uiPriority w:val="21"/>
    <w:qFormat/>
    <w:rsid w:val="00E12C8E"/>
    <w:rPr>
      <w:i/>
      <w:iCs/>
      <w:color w:val="0F4761" w:themeColor="accent1" w:themeShade="BF"/>
    </w:rPr>
  </w:style>
  <w:style w:type="paragraph" w:styleId="IntenseQuote">
    <w:name w:val="Intense Quote"/>
    <w:basedOn w:val="Normal"/>
    <w:next w:val="Normal"/>
    <w:link w:val="IntenseQuoteChar"/>
    <w:uiPriority w:val="30"/>
    <w:qFormat/>
    <w:rsid w:val="00E12C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2C8E"/>
    <w:rPr>
      <w:i/>
      <w:iCs/>
      <w:color w:val="0F4761" w:themeColor="accent1" w:themeShade="BF"/>
    </w:rPr>
  </w:style>
  <w:style w:type="character" w:styleId="IntenseReference">
    <w:name w:val="Intense Reference"/>
    <w:basedOn w:val="DefaultParagraphFont"/>
    <w:uiPriority w:val="32"/>
    <w:qFormat/>
    <w:rsid w:val="00E12C8E"/>
    <w:rPr>
      <w:b/>
      <w:bCs/>
      <w:smallCaps/>
      <w:color w:val="0F4761" w:themeColor="accent1" w:themeShade="BF"/>
      <w:spacing w:val="5"/>
    </w:rPr>
  </w:style>
  <w:style w:type="character" w:styleId="Hyperlink">
    <w:name w:val="Hyperlink"/>
    <w:uiPriority w:val="99"/>
    <w:unhideWhenUsed/>
    <w:rsid w:val="00E12C8E"/>
    <w:rPr>
      <w:color w:val="0563C1"/>
      <w:u w:val="single"/>
    </w:rPr>
  </w:style>
  <w:style w:type="paragraph" w:styleId="Footer">
    <w:name w:val="footer"/>
    <w:basedOn w:val="Normal"/>
    <w:link w:val="FooterChar"/>
    <w:uiPriority w:val="99"/>
    <w:unhideWhenUsed/>
    <w:rsid w:val="00E12C8E"/>
    <w:pPr>
      <w:tabs>
        <w:tab w:val="center" w:pos="4680"/>
        <w:tab w:val="right" w:pos="9360"/>
      </w:tabs>
    </w:pPr>
  </w:style>
  <w:style w:type="character" w:customStyle="1" w:styleId="FooterChar">
    <w:name w:val="Footer Char"/>
    <w:basedOn w:val="DefaultParagraphFont"/>
    <w:link w:val="Footer"/>
    <w:uiPriority w:val="99"/>
    <w:rsid w:val="00E12C8E"/>
    <w:rPr>
      <w:rFonts w:ascii="Arial" w:hAnsi="Arial" w:cs="Helvetica Neue LT Std"/>
      <w:color w:val="000000" w:themeColor="text1"/>
      <w:kern w:val="0"/>
      <w:sz w:val="32"/>
      <w:szCs w:val="64"/>
      <w14:ligatures w14:val="none"/>
    </w:rPr>
  </w:style>
  <w:style w:type="character" w:styleId="CommentReference">
    <w:name w:val="annotation reference"/>
    <w:uiPriority w:val="99"/>
    <w:semiHidden/>
    <w:unhideWhenUsed/>
    <w:rsid w:val="00332FFE"/>
    <w:rPr>
      <w:sz w:val="16"/>
      <w:szCs w:val="16"/>
    </w:rPr>
  </w:style>
  <w:style w:type="paragraph" w:styleId="CommentText">
    <w:name w:val="annotation text"/>
    <w:basedOn w:val="Normal"/>
    <w:link w:val="CommentTextChar"/>
    <w:uiPriority w:val="99"/>
    <w:unhideWhenUsed/>
    <w:rsid w:val="00332FFE"/>
    <w:pPr>
      <w:spacing w:after="160"/>
    </w:pPr>
    <w:rPr>
      <w:rFonts w:ascii="Calibri" w:eastAsia="Calibri" w:hAnsi="Calibri"/>
      <w:sz w:val="20"/>
      <w:szCs w:val="20"/>
    </w:rPr>
  </w:style>
  <w:style w:type="character" w:customStyle="1" w:styleId="CommentTextChar">
    <w:name w:val="Comment Text Char"/>
    <w:basedOn w:val="DefaultParagraphFont"/>
    <w:link w:val="CommentText"/>
    <w:uiPriority w:val="99"/>
    <w:rsid w:val="00332FFE"/>
    <w:rPr>
      <w:rFonts w:ascii="Calibri" w:eastAsia="Calibri" w:hAnsi="Calibri" w:cs="Times New Roman"/>
      <w:kern w:val="0"/>
      <w:sz w:val="20"/>
      <w:szCs w:val="20"/>
      <w14:ligatures w14:val="none"/>
    </w:rPr>
  </w:style>
  <w:style w:type="paragraph" w:customStyle="1" w:styleId="p1">
    <w:name w:val="p1"/>
    <w:basedOn w:val="Normal"/>
    <w:rsid w:val="00332FFE"/>
    <w:rPr>
      <w:rFonts w:ascii="Helvetica" w:hAnsi="Helvetica"/>
      <w:sz w:val="24"/>
    </w:rPr>
  </w:style>
  <w:style w:type="paragraph" w:customStyle="1" w:styleId="p2">
    <w:name w:val="p2"/>
    <w:basedOn w:val="Normal"/>
    <w:rsid w:val="00332FFE"/>
    <w:rPr>
      <w:rFonts w:ascii="Helvetica" w:hAnsi="Helvetica"/>
      <w:sz w:val="27"/>
      <w:szCs w:val="27"/>
    </w:rPr>
  </w:style>
  <w:style w:type="paragraph" w:customStyle="1" w:styleId="p3">
    <w:name w:val="p3"/>
    <w:basedOn w:val="Normal"/>
    <w:rsid w:val="00332FFE"/>
    <w:rPr>
      <w:rFonts w:ascii="Helvetica" w:hAnsi="Helvetica"/>
      <w:sz w:val="30"/>
      <w:szCs w:val="30"/>
    </w:rPr>
  </w:style>
  <w:style w:type="character" w:styleId="FootnoteReference">
    <w:name w:val="footnote reference"/>
    <w:uiPriority w:val="99"/>
    <w:semiHidden/>
    <w:rsid w:val="00332FFE"/>
    <w:rPr>
      <w:rFonts w:ascii="Arial" w:hAnsi="Arial"/>
      <w:sz w:val="32"/>
      <w:vertAlign w:val="superscript"/>
    </w:rPr>
  </w:style>
  <w:style w:type="paragraph" w:styleId="FootnoteText">
    <w:name w:val="footnote text"/>
    <w:basedOn w:val="Normal"/>
    <w:link w:val="FootnoteTextChar"/>
    <w:autoRedefine/>
    <w:uiPriority w:val="99"/>
    <w:semiHidden/>
    <w:rsid w:val="00EA4ED8"/>
    <w:pPr>
      <w:widowControl w:val="0"/>
      <w:suppressAutoHyphens/>
      <w:spacing w:line="259" w:lineRule="auto"/>
      <w:ind w:left="360"/>
    </w:pPr>
    <w:rPr>
      <w:rFonts w:eastAsia="Times New Roman" w:cs="Arial"/>
      <w:szCs w:val="32"/>
    </w:rPr>
  </w:style>
  <w:style w:type="character" w:customStyle="1" w:styleId="FootnoteTextChar">
    <w:name w:val="Footnote Text Char"/>
    <w:basedOn w:val="DefaultParagraphFont"/>
    <w:link w:val="FootnoteText"/>
    <w:uiPriority w:val="99"/>
    <w:semiHidden/>
    <w:rsid w:val="00EA4ED8"/>
    <w:rPr>
      <w:rFonts w:eastAsia="Times New Roman" w:cs="Arial"/>
      <w:szCs w:val="32"/>
    </w:rPr>
  </w:style>
  <w:style w:type="paragraph" w:styleId="Revision">
    <w:name w:val="Revision"/>
    <w:hidden/>
    <w:uiPriority w:val="99"/>
    <w:semiHidden/>
    <w:rsid w:val="004A0EC0"/>
    <w:pPr>
      <w:spacing w:after="0" w:line="240" w:lineRule="auto"/>
    </w:pPr>
    <w:rPr>
      <w:rFonts w:cs="Helvetica Neue LT Std"/>
      <w:color w:val="000000" w:themeColor="text1"/>
      <w:kern w:val="0"/>
      <w:szCs w:val="64"/>
      <w14:ligatures w14:val="none"/>
    </w:rPr>
  </w:style>
  <w:style w:type="paragraph" w:styleId="Header">
    <w:name w:val="header"/>
    <w:basedOn w:val="Normal"/>
    <w:link w:val="HeaderChar"/>
    <w:uiPriority w:val="99"/>
    <w:unhideWhenUsed/>
    <w:rsid w:val="00790BE1"/>
    <w:pPr>
      <w:tabs>
        <w:tab w:val="center" w:pos="4680"/>
        <w:tab w:val="right" w:pos="9360"/>
      </w:tabs>
    </w:pPr>
  </w:style>
  <w:style w:type="character" w:customStyle="1" w:styleId="HeaderChar">
    <w:name w:val="Header Char"/>
    <w:basedOn w:val="DefaultParagraphFont"/>
    <w:link w:val="Header"/>
    <w:uiPriority w:val="99"/>
    <w:rsid w:val="00790BE1"/>
    <w:rPr>
      <w:rFonts w:ascii="Arial" w:hAnsi="Arial" w:cs="Helvetica Neue LT Std"/>
      <w:color w:val="000000" w:themeColor="text1"/>
      <w:kern w:val="0"/>
      <w:sz w:val="32"/>
      <w:szCs w:val="64"/>
      <w14:ligatures w14:val="none"/>
    </w:rPr>
  </w:style>
  <w:style w:type="paragraph" w:styleId="CommentSubject">
    <w:name w:val="annotation subject"/>
    <w:basedOn w:val="CommentText"/>
    <w:next w:val="CommentText"/>
    <w:link w:val="CommentSubjectChar"/>
    <w:uiPriority w:val="99"/>
    <w:semiHidden/>
    <w:unhideWhenUsed/>
    <w:rsid w:val="005B4326"/>
    <w:pPr>
      <w:spacing w:after="0"/>
    </w:pPr>
    <w:rPr>
      <w:rFonts w:ascii="Arial" w:eastAsiaTheme="minorHAnsi" w:hAnsi="Arial" w:cs="Helvetica Neue LT Std"/>
      <w:b/>
      <w:bCs/>
      <w:color w:val="000000" w:themeColor="text1"/>
    </w:rPr>
  </w:style>
  <w:style w:type="character" w:customStyle="1" w:styleId="CommentSubjectChar">
    <w:name w:val="Comment Subject Char"/>
    <w:basedOn w:val="CommentTextChar"/>
    <w:link w:val="CommentSubject"/>
    <w:uiPriority w:val="99"/>
    <w:semiHidden/>
    <w:rsid w:val="005B4326"/>
    <w:rPr>
      <w:rFonts w:ascii="Arial" w:eastAsia="Calibri" w:hAnsi="Arial" w:cs="Helvetica Neue LT Std"/>
      <w:b/>
      <w:bCs/>
      <w:color w:val="000000" w:themeColor="text1"/>
      <w:kern w:val="0"/>
      <w:sz w:val="20"/>
      <w:szCs w:val="20"/>
      <w14:ligatures w14:val="none"/>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AD48DD"/>
    <w:rPr>
      <w:rFonts w:ascii="Segoe UI" w:hAnsi="Segoe UI" w:cs="Segoe UI" w:hint="default"/>
      <w:sz w:val="18"/>
      <w:szCs w:val="18"/>
    </w:rPr>
  </w:style>
  <w:style w:type="character" w:styleId="FollowedHyperlink">
    <w:name w:val="FollowedHyperlink"/>
    <w:basedOn w:val="DefaultParagraphFont"/>
    <w:uiPriority w:val="99"/>
    <w:semiHidden/>
    <w:unhideWhenUsed/>
    <w:rsid w:val="00583A37"/>
    <w:rPr>
      <w:color w:val="96607D" w:themeColor="followedHyperlink"/>
      <w:u w:val="single"/>
    </w:rPr>
  </w:style>
  <w:style w:type="character" w:styleId="UnresolvedMention">
    <w:name w:val="Unresolved Mention"/>
    <w:basedOn w:val="DefaultParagraphFont"/>
    <w:uiPriority w:val="99"/>
    <w:semiHidden/>
    <w:unhideWhenUsed/>
    <w:rsid w:val="003A2579"/>
    <w:rPr>
      <w:color w:val="605E5C"/>
      <w:shd w:val="clear" w:color="auto" w:fill="E1DFDD"/>
    </w:rPr>
  </w:style>
  <w:style w:type="paragraph" w:styleId="TOCHeading">
    <w:name w:val="TOC Heading"/>
    <w:basedOn w:val="Heading1"/>
    <w:next w:val="Normal"/>
    <w:uiPriority w:val="39"/>
    <w:unhideWhenUsed/>
    <w:qFormat/>
    <w:rsid w:val="00776A8A"/>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C60746"/>
    <w:pPr>
      <w:tabs>
        <w:tab w:val="left" w:pos="960"/>
        <w:tab w:val="right" w:leader="dot" w:pos="9926"/>
      </w:tabs>
      <w:spacing w:after="100"/>
      <w:ind w:left="320"/>
    </w:pPr>
  </w:style>
  <w:style w:type="paragraph" w:styleId="TOC3">
    <w:name w:val="toc 3"/>
    <w:basedOn w:val="Normal"/>
    <w:next w:val="Normal"/>
    <w:autoRedefine/>
    <w:uiPriority w:val="39"/>
    <w:unhideWhenUsed/>
    <w:rsid w:val="00F772C9"/>
    <w:pPr>
      <w:tabs>
        <w:tab w:val="left" w:pos="1440"/>
        <w:tab w:val="right" w:leader="dot" w:pos="9926"/>
      </w:tabs>
      <w:spacing w:after="100"/>
      <w:ind w:left="640"/>
    </w:pPr>
  </w:style>
  <w:style w:type="paragraph" w:styleId="TOC1">
    <w:name w:val="toc 1"/>
    <w:basedOn w:val="Normal"/>
    <w:next w:val="Normal"/>
    <w:autoRedefine/>
    <w:uiPriority w:val="39"/>
    <w:unhideWhenUsed/>
    <w:rsid w:val="00776A8A"/>
    <w:pPr>
      <w:spacing w:after="100"/>
    </w:pPr>
  </w:style>
  <w:style w:type="paragraph" w:styleId="EndnoteText">
    <w:name w:val="endnote text"/>
    <w:basedOn w:val="Normal"/>
    <w:link w:val="EndnoteTextChar"/>
    <w:uiPriority w:val="99"/>
    <w:semiHidden/>
    <w:unhideWhenUsed/>
    <w:rsid w:val="009A324E"/>
    <w:rPr>
      <w:sz w:val="20"/>
      <w:szCs w:val="20"/>
    </w:rPr>
  </w:style>
  <w:style w:type="character" w:customStyle="1" w:styleId="EndnoteTextChar">
    <w:name w:val="Endnote Text Char"/>
    <w:basedOn w:val="DefaultParagraphFont"/>
    <w:link w:val="EndnoteText"/>
    <w:uiPriority w:val="99"/>
    <w:semiHidden/>
    <w:rsid w:val="009A324E"/>
    <w:rPr>
      <w:sz w:val="20"/>
      <w:szCs w:val="20"/>
    </w:rPr>
  </w:style>
  <w:style w:type="character" w:styleId="EndnoteReference">
    <w:name w:val="endnote reference"/>
    <w:basedOn w:val="DefaultParagraphFont"/>
    <w:uiPriority w:val="99"/>
    <w:semiHidden/>
    <w:unhideWhenUsed/>
    <w:rsid w:val="009A324E"/>
    <w:rPr>
      <w:vertAlign w:val="superscript"/>
    </w:rPr>
  </w:style>
  <w:style w:type="paragraph" w:customStyle="1" w:styleId="FootnoteStyle">
    <w:name w:val="Footnote Style"/>
    <w:basedOn w:val="FootnoteText"/>
    <w:autoRedefine/>
    <w:qFormat/>
    <w:rsid w:val="00A9755B"/>
  </w:style>
  <w:style w:type="character" w:styleId="PageNumber">
    <w:name w:val="page number"/>
    <w:basedOn w:val="DefaultParagraphFont"/>
    <w:uiPriority w:val="99"/>
    <w:semiHidden/>
    <w:unhideWhenUsed/>
    <w:rsid w:val="000A3366"/>
  </w:style>
  <w:style w:type="numbering" w:customStyle="1" w:styleId="CurrentList1">
    <w:name w:val="Current List1"/>
    <w:uiPriority w:val="99"/>
    <w:rsid w:val="00166DFD"/>
    <w:pPr>
      <w:numPr>
        <w:numId w:val="37"/>
      </w:numPr>
    </w:pPr>
  </w:style>
  <w:style w:type="numbering" w:customStyle="1" w:styleId="CurrentList2">
    <w:name w:val="Current List2"/>
    <w:uiPriority w:val="99"/>
    <w:rsid w:val="00A613B0"/>
    <w:pPr>
      <w:numPr>
        <w:numId w:val="46"/>
      </w:numPr>
    </w:pPr>
  </w:style>
  <w:style w:type="numbering" w:customStyle="1" w:styleId="CurrentList3">
    <w:name w:val="Current List3"/>
    <w:uiPriority w:val="99"/>
    <w:rsid w:val="00A613B0"/>
    <w:pPr>
      <w:numPr>
        <w:numId w:val="47"/>
      </w:numPr>
    </w:pPr>
  </w:style>
  <w:style w:type="numbering" w:customStyle="1" w:styleId="CurrentList4">
    <w:name w:val="Current List4"/>
    <w:uiPriority w:val="99"/>
    <w:rsid w:val="00A613B0"/>
    <w:pPr>
      <w:numPr>
        <w:numId w:val="48"/>
      </w:numPr>
    </w:pPr>
  </w:style>
  <w:style w:type="numbering" w:customStyle="1" w:styleId="CurrentList5">
    <w:name w:val="Current List5"/>
    <w:uiPriority w:val="99"/>
    <w:rsid w:val="00A613B0"/>
    <w:pPr>
      <w:numPr>
        <w:numId w:val="49"/>
      </w:numPr>
    </w:pPr>
  </w:style>
  <w:style w:type="numbering" w:customStyle="1" w:styleId="CurrentList6">
    <w:name w:val="Current List6"/>
    <w:uiPriority w:val="99"/>
    <w:rsid w:val="00A613B0"/>
    <w:pPr>
      <w:numPr>
        <w:numId w:val="50"/>
      </w:numPr>
    </w:pPr>
  </w:style>
  <w:style w:type="numbering" w:customStyle="1" w:styleId="CurrentList7">
    <w:name w:val="Current List7"/>
    <w:uiPriority w:val="99"/>
    <w:rsid w:val="00A613B0"/>
    <w:pPr>
      <w:numPr>
        <w:numId w:val="52"/>
      </w:numPr>
    </w:pPr>
  </w:style>
  <w:style w:type="numbering" w:customStyle="1" w:styleId="CurrentList8">
    <w:name w:val="Current List8"/>
    <w:uiPriority w:val="99"/>
    <w:rsid w:val="00A613B0"/>
    <w:pPr>
      <w:numPr>
        <w:numId w:val="53"/>
      </w:numPr>
    </w:pPr>
  </w:style>
  <w:style w:type="numbering" w:customStyle="1" w:styleId="CurrentList9">
    <w:name w:val="Current List9"/>
    <w:uiPriority w:val="99"/>
    <w:rsid w:val="00190794"/>
    <w:pPr>
      <w:numPr>
        <w:numId w:val="54"/>
      </w:numPr>
    </w:pPr>
  </w:style>
  <w:style w:type="numbering" w:customStyle="1" w:styleId="CurrentList10">
    <w:name w:val="Current List10"/>
    <w:uiPriority w:val="99"/>
    <w:rsid w:val="00190794"/>
    <w:pPr>
      <w:numPr>
        <w:numId w:val="55"/>
      </w:numPr>
    </w:pPr>
  </w:style>
  <w:style w:type="numbering" w:customStyle="1" w:styleId="CurrentList11">
    <w:name w:val="Current List11"/>
    <w:uiPriority w:val="99"/>
    <w:rsid w:val="00B64F81"/>
    <w:pPr>
      <w:numPr>
        <w:numId w:val="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65431">
      <w:bodyDiv w:val="1"/>
      <w:marLeft w:val="0"/>
      <w:marRight w:val="0"/>
      <w:marTop w:val="0"/>
      <w:marBottom w:val="0"/>
      <w:divBdr>
        <w:top w:val="none" w:sz="0" w:space="0" w:color="auto"/>
        <w:left w:val="none" w:sz="0" w:space="0" w:color="auto"/>
        <w:bottom w:val="none" w:sz="0" w:space="0" w:color="auto"/>
        <w:right w:val="none" w:sz="0" w:space="0" w:color="auto"/>
      </w:divBdr>
    </w:div>
    <w:div w:id="210776880">
      <w:bodyDiv w:val="1"/>
      <w:marLeft w:val="0"/>
      <w:marRight w:val="0"/>
      <w:marTop w:val="0"/>
      <w:marBottom w:val="0"/>
      <w:divBdr>
        <w:top w:val="none" w:sz="0" w:space="0" w:color="auto"/>
        <w:left w:val="none" w:sz="0" w:space="0" w:color="auto"/>
        <w:bottom w:val="none" w:sz="0" w:space="0" w:color="auto"/>
        <w:right w:val="none" w:sz="0" w:space="0" w:color="auto"/>
      </w:divBdr>
    </w:div>
    <w:div w:id="465973379">
      <w:bodyDiv w:val="1"/>
      <w:marLeft w:val="0"/>
      <w:marRight w:val="0"/>
      <w:marTop w:val="0"/>
      <w:marBottom w:val="0"/>
      <w:divBdr>
        <w:top w:val="none" w:sz="0" w:space="0" w:color="auto"/>
        <w:left w:val="none" w:sz="0" w:space="0" w:color="auto"/>
        <w:bottom w:val="none" w:sz="0" w:space="0" w:color="auto"/>
        <w:right w:val="none" w:sz="0" w:space="0" w:color="auto"/>
      </w:divBdr>
    </w:div>
    <w:div w:id="579096471">
      <w:bodyDiv w:val="1"/>
      <w:marLeft w:val="0"/>
      <w:marRight w:val="0"/>
      <w:marTop w:val="0"/>
      <w:marBottom w:val="0"/>
      <w:divBdr>
        <w:top w:val="none" w:sz="0" w:space="0" w:color="auto"/>
        <w:left w:val="none" w:sz="0" w:space="0" w:color="auto"/>
        <w:bottom w:val="none" w:sz="0" w:space="0" w:color="auto"/>
        <w:right w:val="none" w:sz="0" w:space="0" w:color="auto"/>
      </w:divBdr>
      <w:divsChild>
        <w:div w:id="1305506954">
          <w:marLeft w:val="0"/>
          <w:marRight w:val="0"/>
          <w:marTop w:val="150"/>
          <w:marBottom w:val="150"/>
          <w:divBdr>
            <w:top w:val="none" w:sz="0" w:space="0" w:color="auto"/>
            <w:left w:val="none" w:sz="0" w:space="0" w:color="auto"/>
            <w:bottom w:val="none" w:sz="0" w:space="0" w:color="auto"/>
            <w:right w:val="none" w:sz="0" w:space="0" w:color="auto"/>
          </w:divBdr>
          <w:divsChild>
            <w:div w:id="1111431959">
              <w:marLeft w:val="0"/>
              <w:marRight w:val="0"/>
              <w:marTop w:val="0"/>
              <w:marBottom w:val="0"/>
              <w:divBdr>
                <w:top w:val="none" w:sz="0" w:space="0" w:color="auto"/>
                <w:left w:val="none" w:sz="0" w:space="0" w:color="auto"/>
                <w:bottom w:val="none" w:sz="0" w:space="0" w:color="auto"/>
                <w:right w:val="none" w:sz="0" w:space="0" w:color="auto"/>
              </w:divBdr>
            </w:div>
          </w:divsChild>
        </w:div>
        <w:div w:id="1417290428">
          <w:marLeft w:val="0"/>
          <w:marRight w:val="0"/>
          <w:marTop w:val="150"/>
          <w:marBottom w:val="150"/>
          <w:divBdr>
            <w:top w:val="none" w:sz="0" w:space="0" w:color="auto"/>
            <w:left w:val="none" w:sz="0" w:space="0" w:color="auto"/>
            <w:bottom w:val="none" w:sz="0" w:space="0" w:color="auto"/>
            <w:right w:val="none" w:sz="0" w:space="0" w:color="auto"/>
          </w:divBdr>
          <w:divsChild>
            <w:div w:id="186405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3376">
      <w:bodyDiv w:val="1"/>
      <w:marLeft w:val="0"/>
      <w:marRight w:val="0"/>
      <w:marTop w:val="0"/>
      <w:marBottom w:val="0"/>
      <w:divBdr>
        <w:top w:val="none" w:sz="0" w:space="0" w:color="auto"/>
        <w:left w:val="none" w:sz="0" w:space="0" w:color="auto"/>
        <w:bottom w:val="none" w:sz="0" w:space="0" w:color="auto"/>
        <w:right w:val="none" w:sz="0" w:space="0" w:color="auto"/>
      </w:divBdr>
    </w:div>
    <w:div w:id="652373720">
      <w:bodyDiv w:val="1"/>
      <w:marLeft w:val="0"/>
      <w:marRight w:val="0"/>
      <w:marTop w:val="0"/>
      <w:marBottom w:val="0"/>
      <w:divBdr>
        <w:top w:val="none" w:sz="0" w:space="0" w:color="auto"/>
        <w:left w:val="none" w:sz="0" w:space="0" w:color="auto"/>
        <w:bottom w:val="none" w:sz="0" w:space="0" w:color="auto"/>
        <w:right w:val="none" w:sz="0" w:space="0" w:color="auto"/>
      </w:divBdr>
    </w:div>
    <w:div w:id="1382365150">
      <w:bodyDiv w:val="1"/>
      <w:marLeft w:val="0"/>
      <w:marRight w:val="0"/>
      <w:marTop w:val="0"/>
      <w:marBottom w:val="0"/>
      <w:divBdr>
        <w:top w:val="none" w:sz="0" w:space="0" w:color="auto"/>
        <w:left w:val="none" w:sz="0" w:space="0" w:color="auto"/>
        <w:bottom w:val="none" w:sz="0" w:space="0" w:color="auto"/>
        <w:right w:val="none" w:sz="0" w:space="0" w:color="auto"/>
      </w:divBdr>
    </w:div>
    <w:div w:id="2013490250">
      <w:bodyDiv w:val="1"/>
      <w:marLeft w:val="0"/>
      <w:marRight w:val="0"/>
      <w:marTop w:val="0"/>
      <w:marBottom w:val="0"/>
      <w:divBdr>
        <w:top w:val="none" w:sz="0" w:space="0" w:color="auto"/>
        <w:left w:val="none" w:sz="0" w:space="0" w:color="auto"/>
        <w:bottom w:val="none" w:sz="0" w:space="0" w:color="auto"/>
        <w:right w:val="none" w:sz="0" w:space="0" w:color="auto"/>
      </w:divBdr>
      <w:divsChild>
        <w:div w:id="1007637086">
          <w:marLeft w:val="0"/>
          <w:marRight w:val="0"/>
          <w:marTop w:val="150"/>
          <w:marBottom w:val="150"/>
          <w:divBdr>
            <w:top w:val="none" w:sz="0" w:space="0" w:color="auto"/>
            <w:left w:val="none" w:sz="0" w:space="0" w:color="auto"/>
            <w:bottom w:val="none" w:sz="0" w:space="0" w:color="auto"/>
            <w:right w:val="none" w:sz="0" w:space="0" w:color="auto"/>
          </w:divBdr>
          <w:divsChild>
            <w:div w:id="1090661220">
              <w:marLeft w:val="0"/>
              <w:marRight w:val="0"/>
              <w:marTop w:val="0"/>
              <w:marBottom w:val="0"/>
              <w:divBdr>
                <w:top w:val="none" w:sz="0" w:space="0" w:color="auto"/>
                <w:left w:val="none" w:sz="0" w:space="0" w:color="auto"/>
                <w:bottom w:val="none" w:sz="0" w:space="0" w:color="auto"/>
                <w:right w:val="none" w:sz="0" w:space="0" w:color="auto"/>
              </w:divBdr>
            </w:div>
          </w:divsChild>
        </w:div>
        <w:div w:id="1415860692">
          <w:marLeft w:val="0"/>
          <w:marRight w:val="0"/>
          <w:marTop w:val="150"/>
          <w:marBottom w:val="150"/>
          <w:divBdr>
            <w:top w:val="none" w:sz="0" w:space="0" w:color="auto"/>
            <w:left w:val="none" w:sz="0" w:space="0" w:color="auto"/>
            <w:bottom w:val="none" w:sz="0" w:space="0" w:color="auto"/>
            <w:right w:val="none" w:sz="0" w:space="0" w:color="auto"/>
          </w:divBdr>
          <w:divsChild>
            <w:div w:id="213683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yc.gov/site/cchr/about/report-discrimination.pag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yc.gov/site/cchr/index.pag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www.nyc.gov/humanrights" TargetMode="External"/><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doi.org/10.1177/14604582241285743" TargetMode="External"/><Relationship Id="rId2" Type="http://schemas.openxmlformats.org/officeDocument/2006/relationships/hyperlink" Target="https://www.nyc.gov/site/cchr/law/the-law.page" TargetMode="External"/><Relationship Id="rId1" Type="http://schemas.openxmlformats.org/officeDocument/2006/relationships/hyperlink" Target="https://data.census.gov/table?t=Disability&amp;g=160XX00US3651000&amp;y=2024&amp;d=ACS+1-Year+Estimates+Selected+Population+Profiles" TargetMode="External"/><Relationship Id="rId6" Type="http://schemas.openxmlformats.org/officeDocument/2006/relationships/hyperlink" Target="https://www1.eeoc.gov//eeoc/publications/ada-leave.cfm?renderforprint=1" TargetMode="External"/><Relationship Id="rId5" Type="http://schemas.openxmlformats.org/officeDocument/2006/relationships/hyperlink" Target="https://cdt.org/wp-content/uploads/2025/03/2025-03-11-CDT-Building-A-Disability-Inclusive-AI-Ecosystem-report-final.pdf" TargetMode="External"/><Relationship Id="rId4" Type="http://schemas.openxmlformats.org/officeDocument/2006/relationships/hyperlink" Target="https://www.ada.gov/assets/pdfs/ai-guidance.pdf" TargetMode="External"/></Relationships>
</file>

<file path=word/documenttasks/documenttasks1.xml><?xml version="1.0" encoding="utf-8"?>
<t:Tasks xmlns:t="http://schemas.microsoft.com/office/tasks/2019/documenttasks" xmlns:oel="http://schemas.microsoft.com/office/2019/extlst">
  <t:Task id="{59E94EC0-EFD3-4CB4-8B71-D067B249502C}">
    <t:Anchor>
      <t:Comment id="1895939049"/>
    </t:Anchor>
    <t:History>
      <t:Event id="{6374B2CE-B6CB-4006-8183-A17461A24FFC}" time="2025-10-22T19:17:18.888Z">
        <t:Attribution userId="S::jkamufward@cchr.nyc.gov::527bb2f0-162e-4838-91ad-3080ee369aea" userProvider="AD" userName="Kamuf Ward, JoAnn (CCHR)"/>
        <t:Anchor>
          <t:Comment id="1895939049"/>
        </t:Anchor>
        <t:Create/>
      </t:Event>
      <t:Event id="{34254B72-65F1-40C9-A6CD-ED6CA8D8D65F}" time="2025-10-22T19:17:18.888Z">
        <t:Attribution userId="S::jkamufward@cchr.nyc.gov::527bb2f0-162e-4838-91ad-3080ee369aea" userProvider="AD" userName="Kamuf Ward, JoAnn (CCHR)"/>
        <t:Anchor>
          <t:Comment id="1895939049"/>
        </t:Anchor>
        <t:Assign userId="S::MGriffin1@cchr.nyc.gov::41612b78-717a-47cd-ac36-e311147c8251" userProvider="AD" userName="Griffin, Michael (CCHR)"/>
      </t:Event>
      <t:Event id="{182CFFC7-B3AB-4307-A1AF-0A677185C7AE}" time="2025-10-22T19:17:18.888Z">
        <t:Attribution userId="S::jkamufward@cchr.nyc.gov::527bb2f0-162e-4838-91ad-3080ee369aea" userProvider="AD" userName="Kamuf Ward, JoAnn (CCHR)"/>
        <t:Anchor>
          <t:Comment id="1895939049"/>
        </t:Anchor>
        <t:SetTitle title="@Griffin, Michael (CCHR) and @Scrivani, Hillary (CCHR) - if we are making consistent, this section would have language similar to ee and pa: Where the requested accommodation is the only option that would address the needs of of an individual, and th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5914cf-7f4c-4236-99cc-274d10b2e5b1">
      <Terms xmlns="http://schemas.microsoft.com/office/infopath/2007/PartnerControls"/>
    </lcf76f155ced4ddcb4097134ff3c332f>
    <TaxCatchAll xmlns="2f514cdf-5d3a-445e-9f74-3b2a61368c3e" xsi:nil="true"/>
    <SharedWithUsers xmlns="b1514f72-0305-4766-8f2b-0c5c0bd01ba6">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914069E3703A64393C498E29A95F6A9" ma:contentTypeVersion="19" ma:contentTypeDescription="Create a new document." ma:contentTypeScope="" ma:versionID="b2b20c176cd93f6928c41ed8fad0704c">
  <xsd:schema xmlns:xsd="http://www.w3.org/2001/XMLSchema" xmlns:xs="http://www.w3.org/2001/XMLSchema" xmlns:p="http://schemas.microsoft.com/office/2006/metadata/properties" xmlns:ns2="805914cf-7f4c-4236-99cc-274d10b2e5b1" xmlns:ns3="b1514f72-0305-4766-8f2b-0c5c0bd01ba6" xmlns:ns4="2f514cdf-5d3a-445e-9f74-3b2a61368c3e" targetNamespace="http://schemas.microsoft.com/office/2006/metadata/properties" ma:root="true" ma:fieldsID="3d96ff0c5462e15dbe68086fca4c7b84" ns2:_="" ns3:_="" ns4:_="">
    <xsd:import namespace="805914cf-7f4c-4236-99cc-274d10b2e5b1"/>
    <xsd:import namespace="b1514f72-0305-4766-8f2b-0c5c0bd01ba6"/>
    <xsd:import namespace="2f514cdf-5d3a-445e-9f74-3b2a61368c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914cf-7f4c-4236-99cc-274d10b2e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b4f074c-b2b8-450b-8d7f-e48a28ce4cf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514f72-0305-4766-8f2b-0c5c0bd01b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514cdf-5d3a-445e-9f74-3b2a61368c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6668ecf-965c-4d97-a185-3b7e36dfd81b}" ma:internalName="TaxCatchAll" ma:showField="CatchAllData" ma:web="2f514cdf-5d3a-445e-9f74-3b2a61368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E2D362-9560-44F1-A9D9-FC5673CBC14F}">
  <ds:schemaRefs>
    <ds:schemaRef ds:uri="http://schemas.microsoft.com/office/2006/metadata/properties"/>
    <ds:schemaRef ds:uri="http://schemas.microsoft.com/office/infopath/2007/PartnerControls"/>
    <ds:schemaRef ds:uri="805914cf-7f4c-4236-99cc-274d10b2e5b1"/>
    <ds:schemaRef ds:uri="2f514cdf-5d3a-445e-9f74-3b2a61368c3e"/>
  </ds:schemaRefs>
</ds:datastoreItem>
</file>

<file path=customXml/itemProps2.xml><?xml version="1.0" encoding="utf-8"?>
<ds:datastoreItem xmlns:ds="http://schemas.openxmlformats.org/officeDocument/2006/customXml" ds:itemID="{469EA234-9F9B-40FE-A9A3-7E0766B4A085}">
  <ds:schemaRefs>
    <ds:schemaRef ds:uri="http://schemas.openxmlformats.org/officeDocument/2006/bibliography"/>
  </ds:schemaRefs>
</ds:datastoreItem>
</file>

<file path=customXml/itemProps3.xml><?xml version="1.0" encoding="utf-8"?>
<ds:datastoreItem xmlns:ds="http://schemas.openxmlformats.org/officeDocument/2006/customXml" ds:itemID="{C8EF995A-8E72-4B7B-A459-BFD2392C738C}">
  <ds:schemaRefs>
    <ds:schemaRef ds:uri="http://schemas.microsoft.com/sharepoint/v3/contenttype/forms"/>
  </ds:schemaRefs>
</ds:datastoreItem>
</file>

<file path=customXml/itemProps4.xml><?xml version="1.0" encoding="utf-8"?>
<ds:datastoreItem xmlns:ds="http://schemas.openxmlformats.org/officeDocument/2006/customXml" ds:itemID="{49514A5C-779E-4730-ABBE-90B9B5B15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914cf-7f4c-4236-99cc-274d10b2e5b1"/>
    <ds:schemaRef ds:uri="b1514f72-0305-4766-8f2b-0c5c0bd01ba6"/>
    <ds:schemaRef ds:uri="2f514cdf-5d3a-445e-9f74-3b2a61368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92</Pages>
  <Words>19104</Words>
  <Characters>108896</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127745</CharactersWithSpaces>
  <SharedDoc>false</SharedDoc>
  <HLinks>
    <vt:vector size="354" baseType="variant">
      <vt:variant>
        <vt:i4>6684729</vt:i4>
      </vt:variant>
      <vt:variant>
        <vt:i4>261</vt:i4>
      </vt:variant>
      <vt:variant>
        <vt:i4>0</vt:i4>
      </vt:variant>
      <vt:variant>
        <vt:i4>5</vt:i4>
      </vt:variant>
      <vt:variant>
        <vt:lpwstr>https://www.nyc.gov/site/cchr/about/report-discrimination.page</vt:lpwstr>
      </vt:variant>
      <vt:variant>
        <vt:lpwstr/>
      </vt:variant>
      <vt:variant>
        <vt:i4>5636103</vt:i4>
      </vt:variant>
      <vt:variant>
        <vt:i4>258</vt:i4>
      </vt:variant>
      <vt:variant>
        <vt:i4>0</vt:i4>
      </vt:variant>
      <vt:variant>
        <vt:i4>5</vt:i4>
      </vt:variant>
      <vt:variant>
        <vt:lpwstr>https://www.nyc.gov/site/cchr/index.page</vt:lpwstr>
      </vt:variant>
      <vt:variant>
        <vt:lpwstr/>
      </vt:variant>
      <vt:variant>
        <vt:i4>1703985</vt:i4>
      </vt:variant>
      <vt:variant>
        <vt:i4>251</vt:i4>
      </vt:variant>
      <vt:variant>
        <vt:i4>0</vt:i4>
      </vt:variant>
      <vt:variant>
        <vt:i4>5</vt:i4>
      </vt:variant>
      <vt:variant>
        <vt:lpwstr/>
      </vt:variant>
      <vt:variant>
        <vt:lpwstr>_Toc215845210</vt:lpwstr>
      </vt:variant>
      <vt:variant>
        <vt:i4>1769521</vt:i4>
      </vt:variant>
      <vt:variant>
        <vt:i4>245</vt:i4>
      </vt:variant>
      <vt:variant>
        <vt:i4>0</vt:i4>
      </vt:variant>
      <vt:variant>
        <vt:i4>5</vt:i4>
      </vt:variant>
      <vt:variant>
        <vt:lpwstr/>
      </vt:variant>
      <vt:variant>
        <vt:lpwstr>_Toc215845209</vt:lpwstr>
      </vt:variant>
      <vt:variant>
        <vt:i4>1769521</vt:i4>
      </vt:variant>
      <vt:variant>
        <vt:i4>239</vt:i4>
      </vt:variant>
      <vt:variant>
        <vt:i4>0</vt:i4>
      </vt:variant>
      <vt:variant>
        <vt:i4>5</vt:i4>
      </vt:variant>
      <vt:variant>
        <vt:lpwstr/>
      </vt:variant>
      <vt:variant>
        <vt:lpwstr>_Toc215845208</vt:lpwstr>
      </vt:variant>
      <vt:variant>
        <vt:i4>1769521</vt:i4>
      </vt:variant>
      <vt:variant>
        <vt:i4>233</vt:i4>
      </vt:variant>
      <vt:variant>
        <vt:i4>0</vt:i4>
      </vt:variant>
      <vt:variant>
        <vt:i4>5</vt:i4>
      </vt:variant>
      <vt:variant>
        <vt:lpwstr/>
      </vt:variant>
      <vt:variant>
        <vt:lpwstr>_Toc215845207</vt:lpwstr>
      </vt:variant>
      <vt:variant>
        <vt:i4>1769521</vt:i4>
      </vt:variant>
      <vt:variant>
        <vt:i4>227</vt:i4>
      </vt:variant>
      <vt:variant>
        <vt:i4>0</vt:i4>
      </vt:variant>
      <vt:variant>
        <vt:i4>5</vt:i4>
      </vt:variant>
      <vt:variant>
        <vt:lpwstr/>
      </vt:variant>
      <vt:variant>
        <vt:lpwstr>_Toc215845206</vt:lpwstr>
      </vt:variant>
      <vt:variant>
        <vt:i4>1769521</vt:i4>
      </vt:variant>
      <vt:variant>
        <vt:i4>221</vt:i4>
      </vt:variant>
      <vt:variant>
        <vt:i4>0</vt:i4>
      </vt:variant>
      <vt:variant>
        <vt:i4>5</vt:i4>
      </vt:variant>
      <vt:variant>
        <vt:lpwstr/>
      </vt:variant>
      <vt:variant>
        <vt:lpwstr>_Toc215845205</vt:lpwstr>
      </vt:variant>
      <vt:variant>
        <vt:i4>1769521</vt:i4>
      </vt:variant>
      <vt:variant>
        <vt:i4>215</vt:i4>
      </vt:variant>
      <vt:variant>
        <vt:i4>0</vt:i4>
      </vt:variant>
      <vt:variant>
        <vt:i4>5</vt:i4>
      </vt:variant>
      <vt:variant>
        <vt:lpwstr/>
      </vt:variant>
      <vt:variant>
        <vt:lpwstr>_Toc215845204</vt:lpwstr>
      </vt:variant>
      <vt:variant>
        <vt:i4>1769521</vt:i4>
      </vt:variant>
      <vt:variant>
        <vt:i4>209</vt:i4>
      </vt:variant>
      <vt:variant>
        <vt:i4>0</vt:i4>
      </vt:variant>
      <vt:variant>
        <vt:i4>5</vt:i4>
      </vt:variant>
      <vt:variant>
        <vt:lpwstr/>
      </vt:variant>
      <vt:variant>
        <vt:lpwstr>_Toc215845203</vt:lpwstr>
      </vt:variant>
      <vt:variant>
        <vt:i4>1769521</vt:i4>
      </vt:variant>
      <vt:variant>
        <vt:i4>203</vt:i4>
      </vt:variant>
      <vt:variant>
        <vt:i4>0</vt:i4>
      </vt:variant>
      <vt:variant>
        <vt:i4>5</vt:i4>
      </vt:variant>
      <vt:variant>
        <vt:lpwstr/>
      </vt:variant>
      <vt:variant>
        <vt:lpwstr>_Toc215845202</vt:lpwstr>
      </vt:variant>
      <vt:variant>
        <vt:i4>1769521</vt:i4>
      </vt:variant>
      <vt:variant>
        <vt:i4>197</vt:i4>
      </vt:variant>
      <vt:variant>
        <vt:i4>0</vt:i4>
      </vt:variant>
      <vt:variant>
        <vt:i4>5</vt:i4>
      </vt:variant>
      <vt:variant>
        <vt:lpwstr/>
      </vt:variant>
      <vt:variant>
        <vt:lpwstr>_Toc215845201</vt:lpwstr>
      </vt:variant>
      <vt:variant>
        <vt:i4>1769521</vt:i4>
      </vt:variant>
      <vt:variant>
        <vt:i4>191</vt:i4>
      </vt:variant>
      <vt:variant>
        <vt:i4>0</vt:i4>
      </vt:variant>
      <vt:variant>
        <vt:i4>5</vt:i4>
      </vt:variant>
      <vt:variant>
        <vt:lpwstr/>
      </vt:variant>
      <vt:variant>
        <vt:lpwstr>_Toc215845200</vt:lpwstr>
      </vt:variant>
      <vt:variant>
        <vt:i4>1179698</vt:i4>
      </vt:variant>
      <vt:variant>
        <vt:i4>185</vt:i4>
      </vt:variant>
      <vt:variant>
        <vt:i4>0</vt:i4>
      </vt:variant>
      <vt:variant>
        <vt:i4>5</vt:i4>
      </vt:variant>
      <vt:variant>
        <vt:lpwstr/>
      </vt:variant>
      <vt:variant>
        <vt:lpwstr>_Toc215845199</vt:lpwstr>
      </vt:variant>
      <vt:variant>
        <vt:i4>1179698</vt:i4>
      </vt:variant>
      <vt:variant>
        <vt:i4>179</vt:i4>
      </vt:variant>
      <vt:variant>
        <vt:i4>0</vt:i4>
      </vt:variant>
      <vt:variant>
        <vt:i4>5</vt:i4>
      </vt:variant>
      <vt:variant>
        <vt:lpwstr/>
      </vt:variant>
      <vt:variant>
        <vt:lpwstr>_Toc215845198</vt:lpwstr>
      </vt:variant>
      <vt:variant>
        <vt:i4>1179698</vt:i4>
      </vt:variant>
      <vt:variant>
        <vt:i4>173</vt:i4>
      </vt:variant>
      <vt:variant>
        <vt:i4>0</vt:i4>
      </vt:variant>
      <vt:variant>
        <vt:i4>5</vt:i4>
      </vt:variant>
      <vt:variant>
        <vt:lpwstr/>
      </vt:variant>
      <vt:variant>
        <vt:lpwstr>_Toc215845197</vt:lpwstr>
      </vt:variant>
      <vt:variant>
        <vt:i4>1179698</vt:i4>
      </vt:variant>
      <vt:variant>
        <vt:i4>167</vt:i4>
      </vt:variant>
      <vt:variant>
        <vt:i4>0</vt:i4>
      </vt:variant>
      <vt:variant>
        <vt:i4>5</vt:i4>
      </vt:variant>
      <vt:variant>
        <vt:lpwstr/>
      </vt:variant>
      <vt:variant>
        <vt:lpwstr>_Toc215845196</vt:lpwstr>
      </vt:variant>
      <vt:variant>
        <vt:i4>1179698</vt:i4>
      </vt:variant>
      <vt:variant>
        <vt:i4>161</vt:i4>
      </vt:variant>
      <vt:variant>
        <vt:i4>0</vt:i4>
      </vt:variant>
      <vt:variant>
        <vt:i4>5</vt:i4>
      </vt:variant>
      <vt:variant>
        <vt:lpwstr/>
      </vt:variant>
      <vt:variant>
        <vt:lpwstr>_Toc215845195</vt:lpwstr>
      </vt:variant>
      <vt:variant>
        <vt:i4>1179698</vt:i4>
      </vt:variant>
      <vt:variant>
        <vt:i4>155</vt:i4>
      </vt:variant>
      <vt:variant>
        <vt:i4>0</vt:i4>
      </vt:variant>
      <vt:variant>
        <vt:i4>5</vt:i4>
      </vt:variant>
      <vt:variant>
        <vt:lpwstr/>
      </vt:variant>
      <vt:variant>
        <vt:lpwstr>_Toc215845194</vt:lpwstr>
      </vt:variant>
      <vt:variant>
        <vt:i4>1179698</vt:i4>
      </vt:variant>
      <vt:variant>
        <vt:i4>149</vt:i4>
      </vt:variant>
      <vt:variant>
        <vt:i4>0</vt:i4>
      </vt:variant>
      <vt:variant>
        <vt:i4>5</vt:i4>
      </vt:variant>
      <vt:variant>
        <vt:lpwstr/>
      </vt:variant>
      <vt:variant>
        <vt:lpwstr>_Toc215845193</vt:lpwstr>
      </vt:variant>
      <vt:variant>
        <vt:i4>1179698</vt:i4>
      </vt:variant>
      <vt:variant>
        <vt:i4>143</vt:i4>
      </vt:variant>
      <vt:variant>
        <vt:i4>0</vt:i4>
      </vt:variant>
      <vt:variant>
        <vt:i4>5</vt:i4>
      </vt:variant>
      <vt:variant>
        <vt:lpwstr/>
      </vt:variant>
      <vt:variant>
        <vt:lpwstr>_Toc215845192</vt:lpwstr>
      </vt:variant>
      <vt:variant>
        <vt:i4>1179698</vt:i4>
      </vt:variant>
      <vt:variant>
        <vt:i4>137</vt:i4>
      </vt:variant>
      <vt:variant>
        <vt:i4>0</vt:i4>
      </vt:variant>
      <vt:variant>
        <vt:i4>5</vt:i4>
      </vt:variant>
      <vt:variant>
        <vt:lpwstr/>
      </vt:variant>
      <vt:variant>
        <vt:lpwstr>_Toc215845191</vt:lpwstr>
      </vt:variant>
      <vt:variant>
        <vt:i4>1179698</vt:i4>
      </vt:variant>
      <vt:variant>
        <vt:i4>131</vt:i4>
      </vt:variant>
      <vt:variant>
        <vt:i4>0</vt:i4>
      </vt:variant>
      <vt:variant>
        <vt:i4>5</vt:i4>
      </vt:variant>
      <vt:variant>
        <vt:lpwstr/>
      </vt:variant>
      <vt:variant>
        <vt:lpwstr>_Toc215845190</vt:lpwstr>
      </vt:variant>
      <vt:variant>
        <vt:i4>1245234</vt:i4>
      </vt:variant>
      <vt:variant>
        <vt:i4>125</vt:i4>
      </vt:variant>
      <vt:variant>
        <vt:i4>0</vt:i4>
      </vt:variant>
      <vt:variant>
        <vt:i4>5</vt:i4>
      </vt:variant>
      <vt:variant>
        <vt:lpwstr/>
      </vt:variant>
      <vt:variant>
        <vt:lpwstr>_Toc215845189</vt:lpwstr>
      </vt:variant>
      <vt:variant>
        <vt:i4>1245234</vt:i4>
      </vt:variant>
      <vt:variant>
        <vt:i4>119</vt:i4>
      </vt:variant>
      <vt:variant>
        <vt:i4>0</vt:i4>
      </vt:variant>
      <vt:variant>
        <vt:i4>5</vt:i4>
      </vt:variant>
      <vt:variant>
        <vt:lpwstr/>
      </vt:variant>
      <vt:variant>
        <vt:lpwstr>_Toc215845188</vt:lpwstr>
      </vt:variant>
      <vt:variant>
        <vt:i4>1245234</vt:i4>
      </vt:variant>
      <vt:variant>
        <vt:i4>113</vt:i4>
      </vt:variant>
      <vt:variant>
        <vt:i4>0</vt:i4>
      </vt:variant>
      <vt:variant>
        <vt:i4>5</vt:i4>
      </vt:variant>
      <vt:variant>
        <vt:lpwstr/>
      </vt:variant>
      <vt:variant>
        <vt:lpwstr>_Toc215845187</vt:lpwstr>
      </vt:variant>
      <vt:variant>
        <vt:i4>1245234</vt:i4>
      </vt:variant>
      <vt:variant>
        <vt:i4>107</vt:i4>
      </vt:variant>
      <vt:variant>
        <vt:i4>0</vt:i4>
      </vt:variant>
      <vt:variant>
        <vt:i4>5</vt:i4>
      </vt:variant>
      <vt:variant>
        <vt:lpwstr/>
      </vt:variant>
      <vt:variant>
        <vt:lpwstr>_Toc215845186</vt:lpwstr>
      </vt:variant>
      <vt:variant>
        <vt:i4>1245234</vt:i4>
      </vt:variant>
      <vt:variant>
        <vt:i4>101</vt:i4>
      </vt:variant>
      <vt:variant>
        <vt:i4>0</vt:i4>
      </vt:variant>
      <vt:variant>
        <vt:i4>5</vt:i4>
      </vt:variant>
      <vt:variant>
        <vt:lpwstr/>
      </vt:variant>
      <vt:variant>
        <vt:lpwstr>_Toc215845185</vt:lpwstr>
      </vt:variant>
      <vt:variant>
        <vt:i4>1245234</vt:i4>
      </vt:variant>
      <vt:variant>
        <vt:i4>95</vt:i4>
      </vt:variant>
      <vt:variant>
        <vt:i4>0</vt:i4>
      </vt:variant>
      <vt:variant>
        <vt:i4>5</vt:i4>
      </vt:variant>
      <vt:variant>
        <vt:lpwstr/>
      </vt:variant>
      <vt:variant>
        <vt:lpwstr>_Toc215845184</vt:lpwstr>
      </vt:variant>
      <vt:variant>
        <vt:i4>1245234</vt:i4>
      </vt:variant>
      <vt:variant>
        <vt:i4>89</vt:i4>
      </vt:variant>
      <vt:variant>
        <vt:i4>0</vt:i4>
      </vt:variant>
      <vt:variant>
        <vt:i4>5</vt:i4>
      </vt:variant>
      <vt:variant>
        <vt:lpwstr/>
      </vt:variant>
      <vt:variant>
        <vt:lpwstr>_Toc215845183</vt:lpwstr>
      </vt:variant>
      <vt:variant>
        <vt:i4>1245234</vt:i4>
      </vt:variant>
      <vt:variant>
        <vt:i4>83</vt:i4>
      </vt:variant>
      <vt:variant>
        <vt:i4>0</vt:i4>
      </vt:variant>
      <vt:variant>
        <vt:i4>5</vt:i4>
      </vt:variant>
      <vt:variant>
        <vt:lpwstr/>
      </vt:variant>
      <vt:variant>
        <vt:lpwstr>_Toc215845182</vt:lpwstr>
      </vt:variant>
      <vt:variant>
        <vt:i4>1245234</vt:i4>
      </vt:variant>
      <vt:variant>
        <vt:i4>77</vt:i4>
      </vt:variant>
      <vt:variant>
        <vt:i4>0</vt:i4>
      </vt:variant>
      <vt:variant>
        <vt:i4>5</vt:i4>
      </vt:variant>
      <vt:variant>
        <vt:lpwstr/>
      </vt:variant>
      <vt:variant>
        <vt:lpwstr>_Toc215845181</vt:lpwstr>
      </vt:variant>
      <vt:variant>
        <vt:i4>1245234</vt:i4>
      </vt:variant>
      <vt:variant>
        <vt:i4>71</vt:i4>
      </vt:variant>
      <vt:variant>
        <vt:i4>0</vt:i4>
      </vt:variant>
      <vt:variant>
        <vt:i4>5</vt:i4>
      </vt:variant>
      <vt:variant>
        <vt:lpwstr/>
      </vt:variant>
      <vt:variant>
        <vt:lpwstr>_Toc215845180</vt:lpwstr>
      </vt:variant>
      <vt:variant>
        <vt:i4>1835058</vt:i4>
      </vt:variant>
      <vt:variant>
        <vt:i4>65</vt:i4>
      </vt:variant>
      <vt:variant>
        <vt:i4>0</vt:i4>
      </vt:variant>
      <vt:variant>
        <vt:i4>5</vt:i4>
      </vt:variant>
      <vt:variant>
        <vt:lpwstr/>
      </vt:variant>
      <vt:variant>
        <vt:lpwstr>_Toc215845179</vt:lpwstr>
      </vt:variant>
      <vt:variant>
        <vt:i4>1835058</vt:i4>
      </vt:variant>
      <vt:variant>
        <vt:i4>59</vt:i4>
      </vt:variant>
      <vt:variant>
        <vt:i4>0</vt:i4>
      </vt:variant>
      <vt:variant>
        <vt:i4>5</vt:i4>
      </vt:variant>
      <vt:variant>
        <vt:lpwstr/>
      </vt:variant>
      <vt:variant>
        <vt:lpwstr>_Toc215845178</vt:lpwstr>
      </vt:variant>
      <vt:variant>
        <vt:i4>1835058</vt:i4>
      </vt:variant>
      <vt:variant>
        <vt:i4>53</vt:i4>
      </vt:variant>
      <vt:variant>
        <vt:i4>0</vt:i4>
      </vt:variant>
      <vt:variant>
        <vt:i4>5</vt:i4>
      </vt:variant>
      <vt:variant>
        <vt:lpwstr/>
      </vt:variant>
      <vt:variant>
        <vt:lpwstr>_Toc215845177</vt:lpwstr>
      </vt:variant>
      <vt:variant>
        <vt:i4>1835058</vt:i4>
      </vt:variant>
      <vt:variant>
        <vt:i4>47</vt:i4>
      </vt:variant>
      <vt:variant>
        <vt:i4>0</vt:i4>
      </vt:variant>
      <vt:variant>
        <vt:i4>5</vt:i4>
      </vt:variant>
      <vt:variant>
        <vt:lpwstr/>
      </vt:variant>
      <vt:variant>
        <vt:lpwstr>_Toc215845176</vt:lpwstr>
      </vt:variant>
      <vt:variant>
        <vt:i4>1835058</vt:i4>
      </vt:variant>
      <vt:variant>
        <vt:i4>41</vt:i4>
      </vt:variant>
      <vt:variant>
        <vt:i4>0</vt:i4>
      </vt:variant>
      <vt:variant>
        <vt:i4>5</vt:i4>
      </vt:variant>
      <vt:variant>
        <vt:lpwstr/>
      </vt:variant>
      <vt:variant>
        <vt:lpwstr>_Toc215845175</vt:lpwstr>
      </vt:variant>
      <vt:variant>
        <vt:i4>1835058</vt:i4>
      </vt:variant>
      <vt:variant>
        <vt:i4>35</vt:i4>
      </vt:variant>
      <vt:variant>
        <vt:i4>0</vt:i4>
      </vt:variant>
      <vt:variant>
        <vt:i4>5</vt:i4>
      </vt:variant>
      <vt:variant>
        <vt:lpwstr/>
      </vt:variant>
      <vt:variant>
        <vt:lpwstr>_Toc215845174</vt:lpwstr>
      </vt:variant>
      <vt:variant>
        <vt:i4>1835058</vt:i4>
      </vt:variant>
      <vt:variant>
        <vt:i4>29</vt:i4>
      </vt:variant>
      <vt:variant>
        <vt:i4>0</vt:i4>
      </vt:variant>
      <vt:variant>
        <vt:i4>5</vt:i4>
      </vt:variant>
      <vt:variant>
        <vt:lpwstr/>
      </vt:variant>
      <vt:variant>
        <vt:lpwstr>_Toc215845173</vt:lpwstr>
      </vt:variant>
      <vt:variant>
        <vt:i4>1835058</vt:i4>
      </vt:variant>
      <vt:variant>
        <vt:i4>23</vt:i4>
      </vt:variant>
      <vt:variant>
        <vt:i4>0</vt:i4>
      </vt:variant>
      <vt:variant>
        <vt:i4>5</vt:i4>
      </vt:variant>
      <vt:variant>
        <vt:lpwstr/>
      </vt:variant>
      <vt:variant>
        <vt:lpwstr>_Toc215845172</vt:lpwstr>
      </vt:variant>
      <vt:variant>
        <vt:i4>1835058</vt:i4>
      </vt:variant>
      <vt:variant>
        <vt:i4>17</vt:i4>
      </vt:variant>
      <vt:variant>
        <vt:i4>0</vt:i4>
      </vt:variant>
      <vt:variant>
        <vt:i4>5</vt:i4>
      </vt:variant>
      <vt:variant>
        <vt:lpwstr/>
      </vt:variant>
      <vt:variant>
        <vt:lpwstr>_Toc215845171</vt:lpwstr>
      </vt:variant>
      <vt:variant>
        <vt:i4>1835058</vt:i4>
      </vt:variant>
      <vt:variant>
        <vt:i4>11</vt:i4>
      </vt:variant>
      <vt:variant>
        <vt:i4>0</vt:i4>
      </vt:variant>
      <vt:variant>
        <vt:i4>5</vt:i4>
      </vt:variant>
      <vt:variant>
        <vt:lpwstr/>
      </vt:variant>
      <vt:variant>
        <vt:lpwstr>_Toc215845170</vt:lpwstr>
      </vt:variant>
      <vt:variant>
        <vt:i4>1900594</vt:i4>
      </vt:variant>
      <vt:variant>
        <vt:i4>5</vt:i4>
      </vt:variant>
      <vt:variant>
        <vt:i4>0</vt:i4>
      </vt:variant>
      <vt:variant>
        <vt:i4>5</vt:i4>
      </vt:variant>
      <vt:variant>
        <vt:lpwstr/>
      </vt:variant>
      <vt:variant>
        <vt:lpwstr>_Toc215845169</vt:lpwstr>
      </vt:variant>
      <vt:variant>
        <vt:i4>3014706</vt:i4>
      </vt:variant>
      <vt:variant>
        <vt:i4>0</vt:i4>
      </vt:variant>
      <vt:variant>
        <vt:i4>0</vt:i4>
      </vt:variant>
      <vt:variant>
        <vt:i4>5</vt:i4>
      </vt:variant>
      <vt:variant>
        <vt:lpwstr>http://www.nyc.gov/humanrights</vt:lpwstr>
      </vt:variant>
      <vt:variant>
        <vt:lpwstr/>
      </vt:variant>
      <vt:variant>
        <vt:i4>3014718</vt:i4>
      </vt:variant>
      <vt:variant>
        <vt:i4>27</vt:i4>
      </vt:variant>
      <vt:variant>
        <vt:i4>0</vt:i4>
      </vt:variant>
      <vt:variant>
        <vt:i4>5</vt:i4>
      </vt:variant>
      <vt:variant>
        <vt:lpwstr>https://www1.eeoc.gov//eeoc/publications/ada-leave.cfm?renderforprint=1</vt:lpwstr>
      </vt:variant>
      <vt:variant>
        <vt:lpwstr/>
      </vt:variant>
      <vt:variant>
        <vt:i4>458755</vt:i4>
      </vt:variant>
      <vt:variant>
        <vt:i4>24</vt:i4>
      </vt:variant>
      <vt:variant>
        <vt:i4>0</vt:i4>
      </vt:variant>
      <vt:variant>
        <vt:i4>5</vt:i4>
      </vt:variant>
      <vt:variant>
        <vt:lpwstr>supra</vt:lpwstr>
      </vt:variant>
      <vt:variant>
        <vt:lpwstr/>
      </vt:variant>
      <vt:variant>
        <vt:i4>458755</vt:i4>
      </vt:variant>
      <vt:variant>
        <vt:i4>21</vt:i4>
      </vt:variant>
      <vt:variant>
        <vt:i4>0</vt:i4>
      </vt:variant>
      <vt:variant>
        <vt:i4>5</vt:i4>
      </vt:variant>
      <vt:variant>
        <vt:lpwstr>supra</vt:lpwstr>
      </vt:variant>
      <vt:variant>
        <vt:lpwstr/>
      </vt:variant>
      <vt:variant>
        <vt:i4>3538977</vt:i4>
      </vt:variant>
      <vt:variant>
        <vt:i4>15</vt:i4>
      </vt:variant>
      <vt:variant>
        <vt:i4>0</vt:i4>
      </vt:variant>
      <vt:variant>
        <vt:i4>5</vt:i4>
      </vt:variant>
      <vt:variant>
        <vt:lpwstr>https://cdt.org/wp-content/uploads/2025/03/2025-03-11-CDT-Building-A-Disability-Inclusive-AI-Ecosystem-report-final.pdf</vt:lpwstr>
      </vt:variant>
      <vt:variant>
        <vt:lpwstr/>
      </vt:variant>
      <vt:variant>
        <vt:i4>3211305</vt:i4>
      </vt:variant>
      <vt:variant>
        <vt:i4>12</vt:i4>
      </vt:variant>
      <vt:variant>
        <vt:i4>0</vt:i4>
      </vt:variant>
      <vt:variant>
        <vt:i4>5</vt:i4>
      </vt:variant>
      <vt:variant>
        <vt:lpwstr>https://www.ada.gov/assets/pdfs/ai-guidance.pdf</vt:lpwstr>
      </vt:variant>
      <vt:variant>
        <vt:lpwstr/>
      </vt:variant>
      <vt:variant>
        <vt:i4>1048667</vt:i4>
      </vt:variant>
      <vt:variant>
        <vt:i4>9</vt:i4>
      </vt:variant>
      <vt:variant>
        <vt:i4>0</vt:i4>
      </vt:variant>
      <vt:variant>
        <vt:i4>5</vt:i4>
      </vt:variant>
      <vt:variant>
        <vt:lpwstr>https://doi.org/10.1177/14604582241285743</vt:lpwstr>
      </vt:variant>
      <vt:variant>
        <vt:lpwstr/>
      </vt:variant>
      <vt:variant>
        <vt:i4>3604579</vt:i4>
      </vt:variant>
      <vt:variant>
        <vt:i4>3</vt:i4>
      </vt:variant>
      <vt:variant>
        <vt:i4>0</vt:i4>
      </vt:variant>
      <vt:variant>
        <vt:i4>5</vt:i4>
      </vt:variant>
      <vt:variant>
        <vt:lpwstr>https://www.nyc.gov/site/cchr/law/the-law.page</vt:lpwstr>
      </vt:variant>
      <vt:variant>
        <vt:lpwstr/>
      </vt:variant>
      <vt:variant>
        <vt:i4>655424</vt:i4>
      </vt:variant>
      <vt:variant>
        <vt:i4>0</vt:i4>
      </vt:variant>
      <vt:variant>
        <vt:i4>0</vt:i4>
      </vt:variant>
      <vt:variant>
        <vt:i4>5</vt:i4>
      </vt:variant>
      <vt:variant>
        <vt:lpwstr>https://data.census.gov/table?t=Disability&amp;g=160XX00US3651000&amp;y=2024&amp;d=ACS+1-Year+Estimates+Selected+Population+Profiles</vt:lpwstr>
      </vt:variant>
      <vt:variant>
        <vt:lpwstr/>
      </vt:variant>
      <vt:variant>
        <vt:i4>6160503</vt:i4>
      </vt:variant>
      <vt:variant>
        <vt:i4>15</vt:i4>
      </vt:variant>
      <vt:variant>
        <vt:i4>0</vt:i4>
      </vt:variant>
      <vt:variant>
        <vt:i4>5</vt:i4>
      </vt:variant>
      <vt:variant>
        <vt:lpwstr>mailto:MGriffin1@cchr.nyc.gov</vt:lpwstr>
      </vt:variant>
      <vt:variant>
        <vt:lpwstr/>
      </vt:variant>
      <vt:variant>
        <vt:i4>3866651</vt:i4>
      </vt:variant>
      <vt:variant>
        <vt:i4>12</vt:i4>
      </vt:variant>
      <vt:variant>
        <vt:i4>0</vt:i4>
      </vt:variant>
      <vt:variant>
        <vt:i4>5</vt:i4>
      </vt:variant>
      <vt:variant>
        <vt:lpwstr>https://www.eeoc.gov/laws/guidance/enforcement-guidance-reasonable-accommodation-and-undue-hardship-under-ada</vt:lpwstr>
      </vt:variant>
      <vt:variant>
        <vt:lpwstr>N_36_</vt:lpwstr>
      </vt:variant>
      <vt:variant>
        <vt:i4>7143522</vt:i4>
      </vt:variant>
      <vt:variant>
        <vt:i4>9</vt:i4>
      </vt:variant>
      <vt:variant>
        <vt:i4>0</vt:i4>
      </vt:variant>
      <vt:variant>
        <vt:i4>5</vt:i4>
      </vt:variant>
      <vt:variant>
        <vt:lpwstr>https://plus.lexis.com/document?pdmfid=1530671&amp;pddocfullpath=%2Fshared%2Fdocument%2Fadministrative-materials%2Furn%3AcontentItem%3A5P2F-CT20-02SY-F0J6-00000-00&amp;pdcontentcomponentid=300579&amp;pdislparesultsdocument=false&amp;prid=33e0ea13-1789-4558-9748-005f60ce5780&amp;crid=fe1c1551-8010-4712-b6eb-49b829d4a07e&amp;pdisdocsliderrequired=true&amp;pdpeersearchid=31f262d0-197e-4720-81fa-84d2a8cd630c-1&amp;ecomp=b7tgk&amp;earg=sr0</vt:lpwstr>
      </vt:variant>
      <vt:variant>
        <vt:lpwstr/>
      </vt:variant>
      <vt:variant>
        <vt:i4>7143522</vt:i4>
      </vt:variant>
      <vt:variant>
        <vt:i4>6</vt:i4>
      </vt:variant>
      <vt:variant>
        <vt:i4>0</vt:i4>
      </vt:variant>
      <vt:variant>
        <vt:i4>5</vt:i4>
      </vt:variant>
      <vt:variant>
        <vt:lpwstr>https://plus.lexis.com/document?pdmfid=1530671&amp;pddocfullpath=%2Fshared%2Fdocument%2Fadministrative-materials%2Furn%3AcontentItem%3A5P2F-CT20-02SY-F0J6-00000-00&amp;pdcontentcomponentid=300579&amp;pdislparesultsdocument=false&amp;prid=33e0ea13-1789-4558-9748-005f60ce5780&amp;crid=fe1c1551-8010-4712-b6eb-49b829d4a07e&amp;pdisdocsliderrequired=true&amp;pdpeersearchid=31f262d0-197e-4720-81fa-84d2a8cd630c-1&amp;ecomp=b7tgk&amp;earg=sr0</vt:lpwstr>
      </vt:variant>
      <vt:variant>
        <vt:lpwstr/>
      </vt:variant>
      <vt:variant>
        <vt:i4>131084</vt:i4>
      </vt:variant>
      <vt:variant>
        <vt:i4>3</vt:i4>
      </vt:variant>
      <vt:variant>
        <vt:i4>0</vt:i4>
      </vt:variant>
      <vt:variant>
        <vt:i4>5</vt:i4>
      </vt:variant>
      <vt:variant>
        <vt:lpwstr>https://plus.lexis.com/api/document/collection/cases/id/5P56-4F41-F04F-02GC-00000-00?cite=268%20F.%20Supp.%203d%20381&amp;context=1530671</vt:lpwstr>
      </vt:variant>
      <vt:variant>
        <vt:lpwstr/>
      </vt:variant>
      <vt:variant>
        <vt:i4>5111810</vt:i4>
      </vt:variant>
      <vt:variant>
        <vt:i4>0</vt:i4>
      </vt:variant>
      <vt:variant>
        <vt:i4>0</vt:i4>
      </vt:variant>
      <vt:variant>
        <vt:i4>5</vt:i4>
      </vt:variant>
      <vt:variant>
        <vt:lpwstr>https://www.dol.gov/agencies/oasam/centers-offices/civil-rights-center/internal/policies/retaliation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Scrivani, Hillary (CCHR)</dc:creator>
  <cp:keywords/>
  <dc:description/>
  <cp:lastModifiedBy>Griffin, Michael (CCHR)</cp:lastModifiedBy>
  <cp:revision>65</cp:revision>
  <cp:lastPrinted>2025-12-30T22:03:00Z</cp:lastPrinted>
  <dcterms:created xsi:type="dcterms:W3CDTF">2025-12-30T22:32:00Z</dcterms:created>
  <dcterms:modified xsi:type="dcterms:W3CDTF">2025-12-31T20:04:00Z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0x010100C914069E3703A64393C498E29A95F6A9</vt:lpwstr>
  </property>
  <property fmtid="{D5CDD505-2E9C-101B-9397-08002B2CF9AE}" pid="4" name="MSIP_Label_ebba276f-0474-4e48-a2bc-69b0eb22318c_Enabled">
    <vt:lpwstr>true</vt:lpwstr>
  </property>
  <property fmtid="{D5CDD505-2E9C-101B-9397-08002B2CF9AE}" pid="5" name="MSIP_Label_ebba276f-0474-4e48-a2bc-69b0eb22318c_SetDate">
    <vt:lpwstr>2025-12-30T22:32:12Z</vt:lpwstr>
  </property>
  <property fmtid="{D5CDD505-2E9C-101B-9397-08002B2CF9AE}" pid="6" name="MSIP_Label_ebba276f-0474-4e48-a2bc-69b0eb22318c_Method">
    <vt:lpwstr>Privileged</vt:lpwstr>
  </property>
  <property fmtid="{D5CDD505-2E9C-101B-9397-08002B2CF9AE}" pid="7" name="MSIP_Label_ebba276f-0474-4e48-a2bc-69b0eb22318c_Name">
    <vt:lpwstr>Non-Restricted-Main</vt:lpwstr>
  </property>
  <property fmtid="{D5CDD505-2E9C-101B-9397-08002B2CF9AE}" pid="8" name="MSIP_Label_ebba276f-0474-4e48-a2bc-69b0eb22318c_SiteId">
    <vt:lpwstr>32f56fc7-5f81-4e22-a95b-15da66513bef</vt:lpwstr>
  </property>
  <property fmtid="{D5CDD505-2E9C-101B-9397-08002B2CF9AE}" pid="9" name="MSIP_Label_ebba276f-0474-4e48-a2bc-69b0eb22318c_ActionId">
    <vt:lpwstr>8c5964f9-c2c0-4836-aa78-2b644671faf5</vt:lpwstr>
  </property>
  <property fmtid="{D5CDD505-2E9C-101B-9397-08002B2CF9AE}" pid="10" name="MSIP_Label_ebba276f-0474-4e48-a2bc-69b0eb22318c_ContentBits">
    <vt:lpwstr>0</vt:lpwstr>
  </property>
  <property fmtid="{D5CDD505-2E9C-101B-9397-08002B2CF9AE}" pid="11" name="MSIP_Label_ebba276f-0474-4e48-a2bc-69b0eb22318c_Tag">
    <vt:lpwstr>50, 0, 1, 1</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_ExtendedDescription">
    <vt:lpwstr/>
  </property>
  <property fmtid="{D5CDD505-2E9C-101B-9397-08002B2CF9AE}" pid="16" name="TriggerFlowInfo">
    <vt:lpwstr/>
  </property>
</Properties>
</file>